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426" w:rsidRPr="005545BF" w:rsidRDefault="00EC6426" w:rsidP="00EC6426">
      <w:pPr>
        <w:shd w:val="clear" w:color="auto" w:fill="FFFFFF"/>
        <w:spacing w:before="100" w:beforeAutospacing="1" w:line="480" w:lineRule="auto"/>
        <w:rPr>
          <w:rFonts w:ascii="Times New Roman" w:eastAsia="Times New Roman" w:hAnsi="Times New Roman" w:cs="Times New Roman"/>
          <w:b/>
          <w:color w:val="2E2E2E"/>
          <w:sz w:val="24"/>
          <w:szCs w:val="24"/>
          <w:lang w:val="en-GB" w:eastAsia="en-GB"/>
        </w:rPr>
      </w:pPr>
      <w:r>
        <w:rPr>
          <w:rFonts w:ascii="Times New Roman" w:eastAsia="Times New Roman" w:hAnsi="Times New Roman" w:cs="Times New Roman"/>
          <w:b/>
          <w:color w:val="2E2E2E"/>
          <w:sz w:val="24"/>
          <w:szCs w:val="24"/>
          <w:lang w:val="en-GB" w:eastAsia="en-GB"/>
        </w:rPr>
        <w:t>NAVIGATING TRANSFER PRICING REGULATIONS; ENSURING COMPLIANCE AND MITIGATING RISKS*</w:t>
      </w:r>
    </w:p>
    <w:p w:rsidR="00EC6426" w:rsidRPr="00F24423" w:rsidRDefault="00EC6426" w:rsidP="00EC6426">
      <w:pPr>
        <w:shd w:val="clear" w:color="auto" w:fill="FFFFFF"/>
        <w:spacing w:before="100" w:beforeAutospacing="1" w:line="360" w:lineRule="auto"/>
        <w:rPr>
          <w:rFonts w:ascii="Times New Roman" w:eastAsia="Times New Roman" w:hAnsi="Times New Roman" w:cs="Times New Roman"/>
          <w:color w:val="2E2E2E"/>
          <w:sz w:val="24"/>
          <w:szCs w:val="24"/>
          <w:lang w:val="en-GB" w:eastAsia="en-GB"/>
        </w:rPr>
      </w:pPr>
      <w:r w:rsidRPr="00F24423">
        <w:rPr>
          <w:rFonts w:ascii="Times New Roman" w:eastAsia="Times New Roman" w:hAnsi="Times New Roman" w:cs="Times New Roman"/>
          <w:color w:val="2E2E2E"/>
          <w:sz w:val="24"/>
          <w:szCs w:val="24"/>
          <w:lang w:val="en-GB" w:eastAsia="en-GB"/>
        </w:rPr>
        <w:t>ABSTRACT</w:t>
      </w:r>
    </w:p>
    <w:p w:rsidR="00EC6426" w:rsidRPr="00EC7379" w:rsidRDefault="006D2922" w:rsidP="00801182">
      <w:pPr>
        <w:shd w:val="clear" w:color="auto" w:fill="FFFFFF"/>
        <w:spacing w:before="100" w:beforeAutospacing="1" w:line="240" w:lineRule="auto"/>
        <w:ind w:firstLine="720"/>
        <w:rPr>
          <w:rFonts w:ascii="Times New Roman" w:eastAsia="Times New Roman" w:hAnsi="Times New Roman" w:cs="Times New Roman"/>
          <w:color w:val="2E2E2E"/>
          <w:sz w:val="24"/>
          <w:szCs w:val="24"/>
          <w:lang w:val="en-GB" w:eastAsia="en-GB"/>
        </w:rPr>
      </w:pPr>
      <w:r>
        <w:rPr>
          <w:rFonts w:ascii="Times New Roman" w:eastAsia="Times New Roman" w:hAnsi="Times New Roman" w:cs="Times New Roman"/>
          <w:color w:val="2E2E2E"/>
          <w:sz w:val="24"/>
          <w:szCs w:val="24"/>
          <w:lang w:val="en-GB" w:eastAsia="en-GB"/>
        </w:rPr>
        <w:t xml:space="preserve">Transfer pricing </w:t>
      </w:r>
      <w:r w:rsidR="00EC6426" w:rsidRPr="00F24423">
        <w:rPr>
          <w:rFonts w:ascii="Times New Roman" w:eastAsia="Times New Roman" w:hAnsi="Times New Roman" w:cs="Times New Roman"/>
          <w:color w:val="2E2E2E"/>
          <w:sz w:val="24"/>
          <w:szCs w:val="24"/>
          <w:lang w:val="en-GB" w:eastAsia="en-GB"/>
        </w:rPr>
        <w:t>is a complex and significant aspect of international taxation and plays a crucial role in determining the allocation of profits and taxes across different jurisdictions.</w:t>
      </w:r>
      <w:r w:rsidR="00EC6426">
        <w:rPr>
          <w:rFonts w:ascii="Times New Roman" w:eastAsia="Times New Roman" w:hAnsi="Times New Roman" w:cs="Times New Roman"/>
          <w:color w:val="2E2E2E"/>
          <w:sz w:val="24"/>
          <w:szCs w:val="24"/>
          <w:lang w:val="en-GB" w:eastAsia="en-GB"/>
        </w:rPr>
        <w:t xml:space="preserve"> </w:t>
      </w:r>
      <w:r w:rsidR="00EC6426" w:rsidRPr="00F24423">
        <w:rPr>
          <w:rFonts w:ascii="Times New Roman" w:eastAsia="Times New Roman" w:hAnsi="Times New Roman" w:cs="Times New Roman"/>
          <w:color w:val="2E2E2E"/>
          <w:sz w:val="24"/>
          <w:szCs w:val="24"/>
          <w:lang w:val="en-GB" w:eastAsia="en-GB"/>
        </w:rPr>
        <w:t>The concept of transfer pricing arises from the need to ensure that intercompany transactions are conducted on an arm’s length basis, as if the transactions were between unrelated parties. This principle ensures fairness and minimizes the potential for tax avoidance and profit shifting</w:t>
      </w:r>
      <w:r>
        <w:rPr>
          <w:rFonts w:ascii="Times New Roman" w:eastAsia="Times New Roman" w:hAnsi="Times New Roman" w:cs="Times New Roman"/>
          <w:color w:val="2E2E2E"/>
          <w:sz w:val="24"/>
          <w:szCs w:val="24"/>
          <w:lang w:val="en-GB" w:eastAsia="en-GB"/>
        </w:rPr>
        <w:t>. T</w:t>
      </w:r>
      <w:r w:rsidR="00EC6426" w:rsidRPr="00F24423">
        <w:rPr>
          <w:rFonts w:ascii="Times New Roman" w:eastAsia="Times New Roman" w:hAnsi="Times New Roman" w:cs="Times New Roman"/>
          <w:color w:val="2E2E2E"/>
          <w:sz w:val="24"/>
          <w:szCs w:val="24"/>
          <w:lang w:val="en-GB" w:eastAsia="en-GB"/>
        </w:rPr>
        <w:t>he implications of transfer pricing extend beyond taxation, it affects trade policies, investment decisions and economic development as it deals with the allocation of profits and resources across jurisdictions.</w:t>
      </w:r>
      <w:r w:rsidR="00EC6426">
        <w:rPr>
          <w:rFonts w:ascii="Times New Roman" w:eastAsia="Times New Roman" w:hAnsi="Times New Roman" w:cs="Times New Roman"/>
          <w:color w:val="2E2E2E"/>
          <w:sz w:val="24"/>
          <w:szCs w:val="24"/>
          <w:lang w:val="en-GB" w:eastAsia="en-GB"/>
        </w:rPr>
        <w:t xml:space="preserve"> </w:t>
      </w:r>
      <w:r w:rsidR="00801182">
        <w:rPr>
          <w:rFonts w:ascii="Times New Roman" w:eastAsia="Times New Roman" w:hAnsi="Times New Roman" w:cs="Times New Roman"/>
          <w:color w:val="2E2E2E"/>
          <w:sz w:val="24"/>
          <w:szCs w:val="24"/>
          <w:lang w:val="en-GB" w:eastAsia="en-GB"/>
        </w:rPr>
        <w:t>T</w:t>
      </w:r>
      <w:r w:rsidR="00884CF5">
        <w:rPr>
          <w:rFonts w:ascii="Times New Roman" w:eastAsia="Times New Roman" w:hAnsi="Times New Roman" w:cs="Times New Roman"/>
          <w:color w:val="2E2E2E"/>
          <w:sz w:val="24"/>
          <w:szCs w:val="24"/>
          <w:lang w:val="en-GB" w:eastAsia="en-GB"/>
        </w:rPr>
        <w:t>his</w:t>
      </w:r>
      <w:r w:rsidR="00801182">
        <w:rPr>
          <w:rFonts w:ascii="Times New Roman" w:eastAsia="Times New Roman" w:hAnsi="Times New Roman" w:cs="Times New Roman"/>
          <w:color w:val="2E2E2E"/>
          <w:sz w:val="24"/>
          <w:szCs w:val="24"/>
          <w:lang w:val="en-GB" w:eastAsia="en-GB"/>
        </w:rPr>
        <w:t xml:space="preserve"> paper addresses the problem of manipulation of intercompany transactions and pricing by MNEs to shift profits artificially and minimiz</w:t>
      </w:r>
      <w:r w:rsidR="00C35412">
        <w:rPr>
          <w:rFonts w:ascii="Times New Roman" w:eastAsia="Times New Roman" w:hAnsi="Times New Roman" w:cs="Times New Roman"/>
          <w:color w:val="2E2E2E"/>
          <w:sz w:val="24"/>
          <w:szCs w:val="24"/>
          <w:lang w:val="en-GB" w:eastAsia="en-GB"/>
        </w:rPr>
        <w:t>e tax liabilities. This</w:t>
      </w:r>
      <w:r w:rsidR="00801182">
        <w:rPr>
          <w:rFonts w:ascii="Times New Roman" w:eastAsia="Times New Roman" w:hAnsi="Times New Roman" w:cs="Times New Roman"/>
          <w:color w:val="2E2E2E"/>
          <w:sz w:val="24"/>
          <w:szCs w:val="24"/>
          <w:lang w:val="en-GB" w:eastAsia="en-GB"/>
        </w:rPr>
        <w:t xml:space="preserve"> not only undermines the integrity of national tax systems, but also erodes public trust in corporate responsibility. The paper </w:t>
      </w:r>
      <w:r w:rsidR="00884CF5">
        <w:rPr>
          <w:rFonts w:ascii="Times New Roman" w:eastAsia="Times New Roman" w:hAnsi="Times New Roman" w:cs="Times New Roman"/>
          <w:color w:val="2E2E2E"/>
          <w:sz w:val="24"/>
          <w:szCs w:val="24"/>
          <w:lang w:val="en-GB" w:eastAsia="en-GB"/>
        </w:rPr>
        <w:t xml:space="preserve">further </w:t>
      </w:r>
      <w:r w:rsidR="00C35412">
        <w:rPr>
          <w:rFonts w:ascii="Times New Roman" w:eastAsia="Times New Roman" w:hAnsi="Times New Roman" w:cs="Times New Roman"/>
          <w:color w:val="2E2E2E"/>
          <w:sz w:val="24"/>
          <w:szCs w:val="24"/>
          <w:lang w:val="en-GB" w:eastAsia="en-GB"/>
        </w:rPr>
        <w:t>examines the</w:t>
      </w:r>
      <w:r w:rsidR="00801182">
        <w:rPr>
          <w:rFonts w:ascii="Times New Roman" w:eastAsia="Times New Roman" w:hAnsi="Times New Roman" w:cs="Times New Roman"/>
          <w:color w:val="2E2E2E"/>
          <w:sz w:val="24"/>
          <w:szCs w:val="24"/>
          <w:lang w:val="en-GB" w:eastAsia="en-GB"/>
        </w:rPr>
        <w:t xml:space="preserve"> role of the arm’s length </w:t>
      </w:r>
      <w:r w:rsidR="00C35412">
        <w:rPr>
          <w:rFonts w:ascii="Times New Roman" w:eastAsia="Times New Roman" w:hAnsi="Times New Roman" w:cs="Times New Roman"/>
          <w:color w:val="2E2E2E"/>
          <w:sz w:val="24"/>
          <w:szCs w:val="24"/>
          <w:lang w:val="en-GB" w:eastAsia="en-GB"/>
        </w:rPr>
        <w:t xml:space="preserve">principle, in ensuring </w:t>
      </w:r>
      <w:r w:rsidR="00801182">
        <w:rPr>
          <w:rFonts w:ascii="Times New Roman" w:eastAsia="Times New Roman" w:hAnsi="Times New Roman" w:cs="Times New Roman"/>
          <w:color w:val="2E2E2E"/>
          <w:sz w:val="24"/>
          <w:szCs w:val="24"/>
          <w:lang w:val="en-GB" w:eastAsia="en-GB"/>
        </w:rPr>
        <w:t>that transactions between related entities within MNEs are conducted</w:t>
      </w:r>
      <w:r w:rsidR="00C35412">
        <w:rPr>
          <w:rFonts w:ascii="Times New Roman" w:eastAsia="Times New Roman" w:hAnsi="Times New Roman" w:cs="Times New Roman"/>
          <w:color w:val="2E2E2E"/>
          <w:sz w:val="24"/>
          <w:szCs w:val="24"/>
          <w:lang w:val="en-GB" w:eastAsia="en-GB"/>
        </w:rPr>
        <w:t xml:space="preserve"> at prices akin to those </w:t>
      </w:r>
      <w:r w:rsidR="00303706">
        <w:rPr>
          <w:rFonts w:ascii="Times New Roman" w:eastAsia="Times New Roman" w:hAnsi="Times New Roman" w:cs="Times New Roman"/>
          <w:color w:val="2E2E2E"/>
          <w:sz w:val="24"/>
          <w:szCs w:val="24"/>
          <w:lang w:val="en-GB" w:eastAsia="en-GB"/>
        </w:rPr>
        <w:t>between independent parties</w:t>
      </w:r>
      <w:r w:rsidR="00EC6426">
        <w:rPr>
          <w:rFonts w:ascii="Times New Roman" w:eastAsia="Times New Roman" w:hAnsi="Times New Roman" w:cs="Times New Roman"/>
          <w:color w:val="2E2E2E"/>
          <w:sz w:val="24"/>
          <w:szCs w:val="24"/>
          <w:lang w:val="en-GB" w:eastAsia="en-GB"/>
        </w:rPr>
        <w:t>.</w:t>
      </w:r>
      <w:r>
        <w:rPr>
          <w:rFonts w:ascii="Times New Roman" w:eastAsia="Times New Roman" w:hAnsi="Times New Roman" w:cs="Times New Roman"/>
          <w:color w:val="2E2E2E"/>
          <w:sz w:val="24"/>
          <w:szCs w:val="24"/>
          <w:lang w:val="en-GB" w:eastAsia="en-GB"/>
        </w:rPr>
        <w:t xml:space="preserve"> </w:t>
      </w:r>
      <w:r w:rsidR="00EC6426">
        <w:rPr>
          <w:rFonts w:ascii="Times New Roman" w:eastAsia="Times New Roman" w:hAnsi="Times New Roman" w:cs="Times New Roman"/>
          <w:color w:val="2E2E2E"/>
          <w:sz w:val="24"/>
          <w:szCs w:val="24"/>
          <w:lang w:val="en-GB" w:eastAsia="en-GB"/>
        </w:rPr>
        <w:t>It recommends</w:t>
      </w:r>
      <w:r w:rsidR="00EC6426" w:rsidRPr="00F731B5">
        <w:rPr>
          <w:rFonts w:ascii="Times New Roman" w:hAnsi="Times New Roman" w:cs="Times New Roman"/>
          <w:sz w:val="24"/>
          <w:szCs w:val="24"/>
        </w:rPr>
        <w:t xml:space="preserve"> </w:t>
      </w:r>
      <w:r w:rsidR="00EC6426">
        <w:rPr>
          <w:rFonts w:ascii="Times New Roman" w:hAnsi="Times New Roman" w:cs="Times New Roman"/>
          <w:sz w:val="24"/>
          <w:szCs w:val="24"/>
        </w:rPr>
        <w:t>compliance with transfer pricing regula</w:t>
      </w:r>
      <w:r w:rsidR="00C35412">
        <w:rPr>
          <w:rFonts w:ascii="Times New Roman" w:hAnsi="Times New Roman" w:cs="Times New Roman"/>
          <w:sz w:val="24"/>
          <w:szCs w:val="24"/>
        </w:rPr>
        <w:t>tions</w:t>
      </w:r>
      <w:r w:rsidR="00EC6426">
        <w:rPr>
          <w:rFonts w:ascii="Times New Roman" w:hAnsi="Times New Roman" w:cs="Times New Roman"/>
          <w:sz w:val="24"/>
          <w:szCs w:val="24"/>
        </w:rPr>
        <w:t xml:space="preserve"> to avoid l</w:t>
      </w:r>
      <w:r w:rsidR="00884CF5">
        <w:rPr>
          <w:rFonts w:ascii="Times New Roman" w:hAnsi="Times New Roman" w:cs="Times New Roman"/>
          <w:sz w:val="24"/>
          <w:szCs w:val="24"/>
        </w:rPr>
        <w:t>egal and financial consequences as n</w:t>
      </w:r>
      <w:r w:rsidR="00EC6426">
        <w:rPr>
          <w:rFonts w:ascii="Times New Roman" w:hAnsi="Times New Roman" w:cs="Times New Roman"/>
          <w:sz w:val="24"/>
          <w:szCs w:val="24"/>
        </w:rPr>
        <w:t>on-compliance can lead to au</w:t>
      </w:r>
      <w:r w:rsidR="007D3F05">
        <w:rPr>
          <w:rFonts w:ascii="Times New Roman" w:hAnsi="Times New Roman" w:cs="Times New Roman"/>
          <w:sz w:val="24"/>
          <w:szCs w:val="24"/>
        </w:rPr>
        <w:t>dits, penalties</w:t>
      </w:r>
      <w:r w:rsidR="00EC6426">
        <w:rPr>
          <w:rFonts w:ascii="Times New Roman" w:hAnsi="Times New Roman" w:cs="Times New Roman"/>
          <w:sz w:val="24"/>
          <w:szCs w:val="24"/>
        </w:rPr>
        <w:t xml:space="preserve"> and reputational damage. Therefore, it is </w:t>
      </w:r>
      <w:r w:rsidR="007D3F05">
        <w:rPr>
          <w:rFonts w:ascii="Times New Roman" w:hAnsi="Times New Roman" w:cs="Times New Roman"/>
          <w:sz w:val="24"/>
          <w:szCs w:val="24"/>
        </w:rPr>
        <w:t>imperative for MNEs to</w:t>
      </w:r>
      <w:r w:rsidR="00EC6426">
        <w:rPr>
          <w:rFonts w:ascii="Times New Roman" w:hAnsi="Times New Roman" w:cs="Times New Roman"/>
          <w:sz w:val="24"/>
          <w:szCs w:val="24"/>
        </w:rPr>
        <w:t xml:space="preserve"> maintain accurate documentation and conduct thorough analysis to demonstrate that their transfer pricing practices are consistent with the arm’s length principle. The doctrinal </w:t>
      </w:r>
      <w:r w:rsidR="00584734">
        <w:rPr>
          <w:rFonts w:ascii="Times New Roman" w:hAnsi="Times New Roman" w:cs="Times New Roman"/>
          <w:sz w:val="24"/>
          <w:szCs w:val="24"/>
        </w:rPr>
        <w:t>method of research is adopted</w:t>
      </w:r>
      <w:r w:rsidR="00EC6426">
        <w:rPr>
          <w:rFonts w:ascii="Times New Roman" w:hAnsi="Times New Roman" w:cs="Times New Roman"/>
          <w:sz w:val="24"/>
          <w:szCs w:val="24"/>
        </w:rPr>
        <w:t>, relying mostly on Policies, Regulations, Statutes and Guidelines.</w:t>
      </w:r>
    </w:p>
    <w:p w:rsidR="00EC6426" w:rsidRDefault="00EC6426"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r w:rsidRPr="00CD1C1A">
        <w:rPr>
          <w:rFonts w:ascii="Times New Roman" w:eastAsia="Times New Roman" w:hAnsi="Times New Roman" w:cs="Times New Roman"/>
          <w:b/>
          <w:color w:val="2E2E2E"/>
          <w:sz w:val="24"/>
          <w:szCs w:val="24"/>
          <w:lang w:val="en-GB" w:eastAsia="en-GB"/>
        </w:rPr>
        <w:t>Key words:</w:t>
      </w:r>
      <w:r>
        <w:rPr>
          <w:rFonts w:ascii="Times New Roman" w:eastAsia="Times New Roman" w:hAnsi="Times New Roman" w:cs="Times New Roman"/>
          <w:color w:val="2E2E2E"/>
          <w:sz w:val="24"/>
          <w:szCs w:val="24"/>
          <w:lang w:val="en-GB" w:eastAsia="en-GB"/>
        </w:rPr>
        <w:t xml:space="preserve"> Arm’s Length</w:t>
      </w:r>
      <w:r w:rsidR="00884CF5">
        <w:rPr>
          <w:rFonts w:ascii="Times New Roman" w:eastAsia="Times New Roman" w:hAnsi="Times New Roman" w:cs="Times New Roman"/>
          <w:color w:val="2E2E2E"/>
          <w:sz w:val="24"/>
          <w:szCs w:val="24"/>
          <w:lang w:val="en-GB" w:eastAsia="en-GB"/>
        </w:rPr>
        <w:t xml:space="preserve"> Principle</w:t>
      </w:r>
      <w:r>
        <w:rPr>
          <w:rFonts w:ascii="Times New Roman" w:eastAsia="Times New Roman" w:hAnsi="Times New Roman" w:cs="Times New Roman"/>
          <w:color w:val="2E2E2E"/>
          <w:sz w:val="24"/>
          <w:szCs w:val="24"/>
          <w:lang w:val="en-GB" w:eastAsia="en-GB"/>
        </w:rPr>
        <w:t>, Multinational Corporations/Enterprises (MNCs and MNEs), Regulations and Transfer Pricing.</w:t>
      </w: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917794" w:rsidRDefault="00917794"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917794" w:rsidRDefault="00917794"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0D2BBB" w:rsidRPr="00EC7379" w:rsidRDefault="000D2BBB" w:rsidP="000D2BBB">
      <w:pPr>
        <w:shd w:val="clear" w:color="auto" w:fill="FFFFFF"/>
        <w:spacing w:before="100" w:beforeAutospacing="1" w:line="240" w:lineRule="auto"/>
        <w:rPr>
          <w:rFonts w:ascii="Times New Roman" w:eastAsia="Times New Roman" w:hAnsi="Times New Roman" w:cs="Times New Roman"/>
          <w:color w:val="2E2E2E"/>
          <w:sz w:val="24"/>
          <w:szCs w:val="24"/>
          <w:lang w:val="en-GB" w:eastAsia="en-GB"/>
        </w:rPr>
      </w:pPr>
    </w:p>
    <w:p w:rsidR="00EC6426" w:rsidRDefault="00584734" w:rsidP="00EC6426">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1.1 </w:t>
      </w:r>
      <w:r w:rsidR="00EC6426">
        <w:rPr>
          <w:rFonts w:ascii="Times New Roman" w:hAnsi="Times New Roman" w:cs="Times New Roman"/>
          <w:b/>
          <w:sz w:val="24"/>
          <w:szCs w:val="24"/>
        </w:rPr>
        <w:t>INTRODUCTION</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Transfer pricing has emerged as a critica</w:t>
      </w:r>
      <w:r w:rsidR="004B3E11">
        <w:rPr>
          <w:rFonts w:ascii="Times New Roman" w:hAnsi="Times New Roman" w:cs="Times New Roman"/>
          <w:sz w:val="24"/>
          <w:szCs w:val="24"/>
        </w:rPr>
        <w:t>l area of concern in</w:t>
      </w:r>
      <w:r>
        <w:rPr>
          <w:rFonts w:ascii="Times New Roman" w:hAnsi="Times New Roman" w:cs="Times New Roman"/>
          <w:sz w:val="24"/>
          <w:szCs w:val="24"/>
        </w:rPr>
        <w:t xml:space="preserve"> International Taxation and Corporate Law. As Multinational Corporations (MNCs) expand their operations across borders, the pricing of intercompany transactions between related entities becomes an important area for tax authorities seeking to prevent profit shifting and ensure a fair distribution of taxable income. These intercompany transactions involve the transfer of goods, services and intangible assets raising the important issue of transfer pricing. Transfer pricing plays a significant role in determining how profits and taxes are allocated among different jurisdictions. By manipulating transfer prices, companies can potentially shift p</w:t>
      </w:r>
      <w:r w:rsidR="006429B3">
        <w:rPr>
          <w:rFonts w:ascii="Times New Roman" w:hAnsi="Times New Roman" w:cs="Times New Roman"/>
          <w:sz w:val="24"/>
          <w:szCs w:val="24"/>
        </w:rPr>
        <w:t>rofits to low tax jurisdictions and</w:t>
      </w:r>
      <w:r>
        <w:rPr>
          <w:rFonts w:ascii="Times New Roman" w:hAnsi="Times New Roman" w:cs="Times New Roman"/>
          <w:sz w:val="24"/>
          <w:szCs w:val="24"/>
        </w:rPr>
        <w:t xml:space="preserve"> minimizing their overall tax burden.</w:t>
      </w:r>
      <w:r w:rsidR="00C5586E">
        <w:rPr>
          <w:rFonts w:ascii="Times New Roman" w:hAnsi="Times New Roman" w:cs="Times New Roman"/>
          <w:sz w:val="24"/>
          <w:szCs w:val="24"/>
        </w:rPr>
        <w:t xml:space="preserve"> </w:t>
      </w:r>
      <w:r>
        <w:rPr>
          <w:rFonts w:ascii="Times New Roman" w:hAnsi="Times New Roman" w:cs="Times New Roman"/>
          <w:sz w:val="24"/>
          <w:szCs w:val="24"/>
        </w:rPr>
        <w:t>Consequently, transfer pricing has become an area of great importance for tax authorities worldwide, seeking to prevent tax evasion and ensure a fair distribution of taxable profits.</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regulate transfer pricing practices and prevent abusive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countries have established regulations and guidelines that align with international standards set by organizations like the Organization for Economic Co-operation and Development (OECD). These regulations aim to provide a framework for determining transfer prices based on comparable transactions and ensuring transparency in multinational business operations. Transfer pricing is however, a complex and constantly evolving field involving economic, legal and financial considerations. It requires careful analysis, documentation and compliance with local regulations to mitigate tax related risks and maintain trust between taxpayers and tax authorities as effective transfer pricing practices can bring enormous benefits to both governments and Multinational Corporations (MNCs).</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Thus, </w:t>
      </w:r>
      <w:r w:rsidR="004B3E11">
        <w:rPr>
          <w:rFonts w:ascii="Times New Roman" w:hAnsi="Times New Roman" w:cs="Times New Roman"/>
          <w:sz w:val="24"/>
          <w:szCs w:val="24"/>
        </w:rPr>
        <w:t>this</w:t>
      </w:r>
      <w:r w:rsidR="006157CF">
        <w:rPr>
          <w:rFonts w:ascii="Times New Roman" w:hAnsi="Times New Roman" w:cs="Times New Roman"/>
          <w:sz w:val="24"/>
          <w:szCs w:val="24"/>
        </w:rPr>
        <w:t xml:space="preserve"> paper addresses the legal challenge posed by the evolving nature of transfer pricing regulations and the need for MNCs</w:t>
      </w:r>
      <w:r w:rsidR="00B0152B">
        <w:rPr>
          <w:rFonts w:ascii="Times New Roman" w:hAnsi="Times New Roman" w:cs="Times New Roman"/>
          <w:sz w:val="24"/>
          <w:szCs w:val="24"/>
        </w:rPr>
        <w:t xml:space="preserve">, tax professionals, policy makers and anyone interested in the interplay between international business and taxation </w:t>
      </w:r>
      <w:r w:rsidR="006157CF">
        <w:rPr>
          <w:rFonts w:ascii="Times New Roman" w:hAnsi="Times New Roman" w:cs="Times New Roman"/>
          <w:sz w:val="24"/>
          <w:szCs w:val="24"/>
        </w:rPr>
        <w:t>to stay informed about changes in international and local regulations to ensure complianc</w:t>
      </w:r>
      <w:r w:rsidR="00B0152B">
        <w:rPr>
          <w:rFonts w:ascii="Times New Roman" w:hAnsi="Times New Roman" w:cs="Times New Roman"/>
          <w:sz w:val="24"/>
          <w:szCs w:val="24"/>
        </w:rPr>
        <w:t>e and avoid legal complications and also by exploring</w:t>
      </w:r>
      <w:r>
        <w:rPr>
          <w:rFonts w:ascii="Times New Roman" w:hAnsi="Times New Roman" w:cs="Times New Roman"/>
          <w:sz w:val="24"/>
          <w:szCs w:val="24"/>
        </w:rPr>
        <w:t xml:space="preserve"> the intricacies of transfer pricing, valuable insights can be gotten into the challenges, strategies and implications associated with cross border transactions within multinational enterprises.</w:t>
      </w:r>
    </w:p>
    <w:p w:rsidR="00584734" w:rsidRDefault="00584734" w:rsidP="00EC6426">
      <w:pPr>
        <w:spacing w:line="360" w:lineRule="auto"/>
        <w:jc w:val="both"/>
        <w:rPr>
          <w:rFonts w:ascii="Times New Roman" w:hAnsi="Times New Roman" w:cs="Times New Roman"/>
          <w:sz w:val="24"/>
          <w:szCs w:val="24"/>
        </w:rPr>
      </w:pPr>
    </w:p>
    <w:p w:rsidR="004B3E11" w:rsidRDefault="004B3E11" w:rsidP="00EC6426">
      <w:pPr>
        <w:spacing w:line="360" w:lineRule="auto"/>
        <w:jc w:val="both"/>
        <w:rPr>
          <w:rFonts w:ascii="Times New Roman" w:hAnsi="Times New Roman" w:cs="Times New Roman"/>
          <w:sz w:val="24"/>
          <w:szCs w:val="24"/>
        </w:rPr>
      </w:pPr>
    </w:p>
    <w:p w:rsidR="00EC6426" w:rsidRDefault="00273D98" w:rsidP="00EC6426">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1.2 </w:t>
      </w:r>
      <w:r w:rsidR="00EC6426">
        <w:rPr>
          <w:rFonts w:ascii="Times New Roman" w:hAnsi="Times New Roman" w:cs="Times New Roman"/>
          <w:b/>
          <w:sz w:val="24"/>
          <w:szCs w:val="24"/>
        </w:rPr>
        <w:t>THE CONCEPT</w:t>
      </w:r>
      <w:r w:rsidR="008B3C6D">
        <w:rPr>
          <w:rFonts w:ascii="Times New Roman" w:hAnsi="Times New Roman" w:cs="Times New Roman"/>
          <w:b/>
          <w:sz w:val="24"/>
          <w:szCs w:val="24"/>
        </w:rPr>
        <w:t>S</w:t>
      </w:r>
      <w:r w:rsidR="00EC6426">
        <w:rPr>
          <w:rFonts w:ascii="Times New Roman" w:hAnsi="Times New Roman" w:cs="Times New Roman"/>
          <w:b/>
          <w:sz w:val="24"/>
          <w:szCs w:val="24"/>
        </w:rPr>
        <w:t xml:space="preserve"> OF TRANSFER PRICING</w:t>
      </w:r>
      <w:r w:rsidR="008B3C6D">
        <w:rPr>
          <w:rFonts w:ascii="Times New Roman" w:hAnsi="Times New Roman" w:cs="Times New Roman"/>
          <w:b/>
          <w:sz w:val="24"/>
          <w:szCs w:val="24"/>
        </w:rPr>
        <w:t xml:space="preserve"> AND ARM’S LENGTH PRINCIPLE</w:t>
      </w:r>
    </w:p>
    <w:p w:rsidR="008B3C6D" w:rsidRDefault="008B3C6D" w:rsidP="00EC6426">
      <w:pPr>
        <w:spacing w:line="480" w:lineRule="auto"/>
        <w:jc w:val="both"/>
        <w:rPr>
          <w:rFonts w:ascii="Times New Roman" w:hAnsi="Times New Roman" w:cs="Times New Roman"/>
          <w:b/>
          <w:sz w:val="24"/>
          <w:szCs w:val="24"/>
        </w:rPr>
      </w:pPr>
      <w:r>
        <w:rPr>
          <w:rFonts w:ascii="Times New Roman" w:hAnsi="Times New Roman" w:cs="Times New Roman"/>
          <w:b/>
          <w:sz w:val="24"/>
          <w:szCs w:val="24"/>
        </w:rPr>
        <w:t>1.2.1 TRANSFER PRICING</w:t>
      </w:r>
    </w:p>
    <w:p w:rsidR="00CC68B0"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Transfer pricing refers to the prices of goods and services that are exchanged between companies under common control</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r w:rsidR="00F322CE">
        <w:rPr>
          <w:rFonts w:ascii="Times New Roman" w:hAnsi="Times New Roman" w:cs="Times New Roman"/>
          <w:sz w:val="24"/>
          <w:szCs w:val="24"/>
        </w:rPr>
        <w:t xml:space="preserve"> </w:t>
      </w:r>
      <w:r>
        <w:rPr>
          <w:rFonts w:ascii="Times New Roman" w:hAnsi="Times New Roman" w:cs="Times New Roman"/>
          <w:sz w:val="24"/>
          <w:szCs w:val="24"/>
        </w:rPr>
        <w:t>Transfer pricing is the setting of the price for goods and services sold between controlled (or related) legal entities within an enterprise.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For example, if a subsidiary company sells goods to a parent company, the cost of those goods paid by the parent to the subsidiary is the transfer price. In other words, the transactions between two relate</w:t>
      </w:r>
      <w:r w:rsidR="008B3C6D">
        <w:rPr>
          <w:rFonts w:ascii="Times New Roman" w:hAnsi="Times New Roman" w:cs="Times New Roman"/>
          <w:sz w:val="24"/>
          <w:szCs w:val="24"/>
        </w:rPr>
        <w:t>d parties must be based on the arm’s length principle</w:t>
      </w:r>
      <w:r w:rsidR="007920BE">
        <w:rPr>
          <w:rFonts w:ascii="Times New Roman" w:hAnsi="Times New Roman" w:cs="Times New Roman"/>
          <w:sz w:val="24"/>
          <w:szCs w:val="24"/>
        </w:rPr>
        <w:t>.</w:t>
      </w:r>
    </w:p>
    <w:p w:rsidR="00E97C6E" w:rsidRPr="00E97C6E"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Simply put, transfer pricing is prices charged between companies that operate under the same ownership umbrella. The primary objective is to determine a fair and reasonable price for these transactions, aligning them with the arm’s length principle. This principle requires that intercompany transactions be priced as if the entities were independent and dealing at arm’s length </w:t>
      </w:r>
      <w:r w:rsidRPr="00E97C6E">
        <w:rPr>
          <w:rFonts w:ascii="Times New Roman" w:hAnsi="Times New Roman" w:cs="Times New Roman"/>
          <w:sz w:val="24"/>
          <w:szCs w:val="24"/>
        </w:rPr>
        <w:t>with each other, reflecting market conditions</w:t>
      </w:r>
      <w:r w:rsidR="009D68E5">
        <w:rPr>
          <w:rStyle w:val="FootnoteReference"/>
          <w:rFonts w:ascii="Times New Roman" w:hAnsi="Times New Roman" w:cs="Times New Roman"/>
          <w:sz w:val="24"/>
          <w:szCs w:val="24"/>
        </w:rPr>
        <w:footnoteReference w:id="3"/>
      </w:r>
      <w:r w:rsidRPr="00E97C6E">
        <w:rPr>
          <w:rFonts w:ascii="Times New Roman" w:hAnsi="Times New Roman" w:cs="Times New Roman"/>
          <w:sz w:val="24"/>
          <w:szCs w:val="24"/>
        </w:rPr>
        <w:t>.</w:t>
      </w:r>
    </w:p>
    <w:p w:rsidR="00E97C6E" w:rsidRPr="00E97C6E" w:rsidRDefault="00E97C6E" w:rsidP="00EC6426">
      <w:pPr>
        <w:spacing w:line="360" w:lineRule="auto"/>
        <w:jc w:val="both"/>
        <w:rPr>
          <w:rFonts w:ascii="Times New Roman" w:hAnsi="Times New Roman" w:cs="Times New Roman"/>
          <w:b/>
          <w:i/>
          <w:sz w:val="24"/>
          <w:szCs w:val="24"/>
        </w:rPr>
      </w:pPr>
      <w:r w:rsidRPr="00E97C6E">
        <w:rPr>
          <w:rFonts w:ascii="Times New Roman" w:hAnsi="Times New Roman" w:cs="Times New Roman"/>
          <w:b/>
          <w:i/>
          <w:sz w:val="24"/>
          <w:szCs w:val="24"/>
        </w:rPr>
        <w:t>Example</w:t>
      </w:r>
    </w:p>
    <w:p w:rsidR="00EC6426" w:rsidRPr="00E74ED5" w:rsidRDefault="00E97C6E" w:rsidP="00EC6426">
      <w:pPr>
        <w:spacing w:line="360" w:lineRule="auto"/>
        <w:jc w:val="both"/>
        <w:rPr>
          <w:rFonts w:ascii="Times New Roman" w:hAnsi="Times New Roman" w:cs="Times New Roman"/>
          <w:b/>
          <w:i/>
          <w:sz w:val="24"/>
          <w:szCs w:val="24"/>
        </w:rPr>
      </w:pPr>
      <w:r>
        <w:rPr>
          <w:rFonts w:ascii="Times New Roman" w:hAnsi="Times New Roman" w:cs="Times New Roman"/>
          <w:sz w:val="24"/>
          <w:szCs w:val="24"/>
        </w:rPr>
        <w:t>T</w:t>
      </w:r>
      <w:r w:rsidR="00083134">
        <w:rPr>
          <w:rFonts w:ascii="Times New Roman" w:hAnsi="Times New Roman" w:cs="Times New Roman"/>
          <w:sz w:val="24"/>
          <w:szCs w:val="24"/>
        </w:rPr>
        <w:t>wo subsidiaries of a multinational company, Company A and Company B operate in different counties. Company A is located in Country X and is responsible for manufacturing a high- tech component used in smartphones. Company B is located in Country Y and is responsible for assembling the final smartphones using the components provided by Company A. Now Company A sells the components to Company B for use in smartphone assembly. The challenge here is to determine a fair and arm’s length price at which Company A should sell the components to Company B</w:t>
      </w:r>
      <w:r w:rsidR="00E74ED5">
        <w:rPr>
          <w:rFonts w:ascii="Times New Roman" w:hAnsi="Times New Roman" w:cs="Times New Roman"/>
          <w:sz w:val="24"/>
          <w:szCs w:val="24"/>
        </w:rPr>
        <w:t>. A</w:t>
      </w:r>
      <w:r>
        <w:rPr>
          <w:rFonts w:ascii="Times New Roman" w:hAnsi="Times New Roman" w:cs="Times New Roman"/>
          <w:sz w:val="24"/>
          <w:szCs w:val="24"/>
        </w:rPr>
        <w:t>ccording to the arm’s length principle, the transfer price</w:t>
      </w:r>
      <w:r w:rsidR="00295CBE">
        <w:rPr>
          <w:rFonts w:ascii="Times New Roman" w:hAnsi="Times New Roman" w:cs="Times New Roman"/>
          <w:sz w:val="24"/>
          <w:szCs w:val="24"/>
        </w:rPr>
        <w:t xml:space="preserve"> </w:t>
      </w:r>
      <w:proofErr w:type="spellStart"/>
      <w:r w:rsidR="00295CBE">
        <w:rPr>
          <w:rFonts w:ascii="Times New Roman" w:hAnsi="Times New Roman" w:cs="Times New Roman"/>
          <w:sz w:val="24"/>
          <w:szCs w:val="24"/>
        </w:rPr>
        <w:t>i.e</w:t>
      </w:r>
      <w:proofErr w:type="spellEnd"/>
      <w:r w:rsidR="00295CBE">
        <w:rPr>
          <w:rFonts w:ascii="Times New Roman" w:hAnsi="Times New Roman" w:cs="Times New Roman"/>
          <w:sz w:val="24"/>
          <w:szCs w:val="24"/>
        </w:rPr>
        <w:t xml:space="preserve"> the price at which Company A sells the components to Company B should be similar to what two independent </w:t>
      </w:r>
      <w:r w:rsidR="00295CBE">
        <w:rPr>
          <w:rFonts w:ascii="Times New Roman" w:hAnsi="Times New Roman" w:cs="Times New Roman"/>
          <w:sz w:val="24"/>
          <w:szCs w:val="24"/>
        </w:rPr>
        <w:lastRenderedPageBreak/>
        <w:t>companies would agree upon in a comparable transaction.</w:t>
      </w:r>
      <w:r w:rsidR="00A11038">
        <w:rPr>
          <w:rFonts w:ascii="Times New Roman" w:hAnsi="Times New Roman" w:cs="Times New Roman"/>
          <w:sz w:val="24"/>
          <w:szCs w:val="24"/>
        </w:rPr>
        <w:t xml:space="preserve"> In other words, it should reflect the market price for such components.</w:t>
      </w:r>
      <w:r>
        <w:rPr>
          <w:rFonts w:ascii="Times New Roman" w:hAnsi="Times New Roman" w:cs="Times New Roman"/>
          <w:sz w:val="24"/>
          <w:szCs w:val="24"/>
        </w:rPr>
        <w:t xml:space="preserve">  </w:t>
      </w:r>
      <w:r w:rsidR="00EC6426">
        <w:rPr>
          <w:rFonts w:ascii="Times New Roman" w:hAnsi="Times New Roman" w:cs="Times New Roman"/>
          <w:sz w:val="24"/>
          <w:szCs w:val="24"/>
        </w:rPr>
        <w:t>Thus, a transfer price should match either what the seller would charge an independent, arm’s length customer, or what the buyer would pay an independent, arm’s length supplier.</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Transfer pricing does not necessarily involve tax avoidance, as the need to set such prices is a normal aspect of how MNEs must operate. However, where the pricing does not accord with internationally applicable norms or with the arm’s length principle under domestic law, the tax administration may consider this to be “mispricing”, “incorrect pricing” or non-arm’s length pricing, and an issue of tax avoidance and evasion may potentially arise</w:t>
      </w:r>
      <w:r w:rsidR="00AC6427">
        <w:rPr>
          <w:rStyle w:val="FootnoteReference"/>
          <w:rFonts w:ascii="Times New Roman" w:hAnsi="Times New Roman" w:cs="Times New Roman"/>
          <w:sz w:val="24"/>
          <w:szCs w:val="24"/>
        </w:rPr>
        <w:footnoteReference w:id="4"/>
      </w:r>
      <w:r>
        <w:rPr>
          <w:rFonts w:ascii="Times New Roman" w:hAnsi="Times New Roman" w:cs="Times New Roman"/>
          <w:sz w:val="24"/>
          <w:szCs w:val="24"/>
        </w:rPr>
        <w:t>.</w:t>
      </w:r>
    </w:p>
    <w:p w:rsidR="00EC6426" w:rsidRPr="00ED00B0" w:rsidRDefault="00EC6426" w:rsidP="00161FFD">
      <w:pPr>
        <w:tabs>
          <w:tab w:val="left" w:pos="1011"/>
        </w:tabs>
        <w:spacing w:line="360" w:lineRule="auto"/>
        <w:jc w:val="both"/>
        <w:rPr>
          <w:rFonts w:ascii="Times New Roman" w:hAnsi="Times New Roman" w:cs="Times New Roman"/>
          <w:sz w:val="24"/>
          <w:szCs w:val="24"/>
        </w:rPr>
      </w:pPr>
      <w:r>
        <w:rPr>
          <w:rFonts w:ascii="Times New Roman" w:hAnsi="Times New Roman" w:cs="Times New Roman"/>
          <w:sz w:val="24"/>
          <w:szCs w:val="24"/>
        </w:rPr>
        <w:t>Tax authorities usually frown upon transfer pricing aimed at tax avoidance and insist that each internal part of the firm deals with the other on “arm’s length” (market price) basis.</w:t>
      </w:r>
      <w:r>
        <w:rPr>
          <w:rStyle w:val="FootnoteReference"/>
          <w:rFonts w:ascii="Times New Roman" w:hAnsi="Times New Roman" w:cs="Times New Roman"/>
          <w:sz w:val="24"/>
          <w:szCs w:val="24"/>
        </w:rPr>
        <w:footnoteReference w:id="5"/>
      </w:r>
      <w:r w:rsidR="00161FFD">
        <w:rPr>
          <w:rFonts w:ascii="Times New Roman" w:hAnsi="Times New Roman" w:cs="Times New Roman"/>
          <w:sz w:val="24"/>
          <w:szCs w:val="24"/>
        </w:rPr>
        <w:t xml:space="preserve"> </w:t>
      </w:r>
      <w:r w:rsidRPr="00ED00B0">
        <w:rPr>
          <w:rFonts w:ascii="Times New Roman" w:hAnsi="Times New Roman" w:cs="Times New Roman"/>
          <w:sz w:val="24"/>
          <w:szCs w:val="24"/>
        </w:rPr>
        <w:t>Estimates vary as to how much tax revenue is lost by governments due to transfer mispricing.</w:t>
      </w:r>
      <w:r w:rsidRPr="00ED00B0">
        <w:rPr>
          <w:rStyle w:val="FootnoteReference"/>
          <w:rFonts w:ascii="Times New Roman" w:hAnsi="Times New Roman" w:cs="Times New Roman"/>
          <w:sz w:val="24"/>
          <w:szCs w:val="24"/>
        </w:rPr>
        <w:footnoteReference w:id="6"/>
      </w:r>
    </w:p>
    <w:p w:rsidR="00083134" w:rsidRDefault="008B3C6D" w:rsidP="00EC6426">
      <w:pPr>
        <w:tabs>
          <w:tab w:val="left" w:pos="3874"/>
        </w:tabs>
        <w:spacing w:line="360" w:lineRule="auto"/>
        <w:jc w:val="both"/>
        <w:rPr>
          <w:rFonts w:ascii="Times New Roman" w:hAnsi="Times New Roman" w:cs="Times New Roman"/>
          <w:b/>
          <w:sz w:val="24"/>
          <w:szCs w:val="24"/>
        </w:rPr>
      </w:pPr>
      <w:r>
        <w:rPr>
          <w:rFonts w:ascii="Times New Roman" w:hAnsi="Times New Roman" w:cs="Times New Roman"/>
          <w:b/>
          <w:sz w:val="24"/>
          <w:szCs w:val="24"/>
        </w:rPr>
        <w:t>1.2.2</w:t>
      </w:r>
      <w:r w:rsidR="00BA6DF7">
        <w:rPr>
          <w:rFonts w:ascii="Times New Roman" w:hAnsi="Times New Roman" w:cs="Times New Roman"/>
          <w:b/>
          <w:sz w:val="24"/>
          <w:szCs w:val="24"/>
        </w:rPr>
        <w:t xml:space="preserve"> </w:t>
      </w:r>
      <w:r w:rsidR="00083134">
        <w:rPr>
          <w:rFonts w:ascii="Times New Roman" w:hAnsi="Times New Roman" w:cs="Times New Roman"/>
          <w:b/>
          <w:sz w:val="24"/>
          <w:szCs w:val="24"/>
        </w:rPr>
        <w:t>THE ARMS’S LENGTH PRINCIPLE</w:t>
      </w:r>
    </w:p>
    <w:p w:rsidR="00651EC6" w:rsidRDefault="002776BA" w:rsidP="00651EC6">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arm’s length principle is a fundamental concept in international taxation and transfer pricing that ensures that transactions between related entities within MNEs are conducted on terms that would be comparable to those negotiated between independent, unrelated parties.</w:t>
      </w:r>
      <w:r w:rsidR="00133D73">
        <w:rPr>
          <w:rFonts w:ascii="Times New Roman" w:hAnsi="Times New Roman" w:cs="Times New Roman"/>
          <w:color w:val="000000"/>
          <w:sz w:val="24"/>
          <w:szCs w:val="24"/>
        </w:rPr>
        <w:t xml:space="preserve"> </w:t>
      </w:r>
      <w:r w:rsidR="00651EC6">
        <w:rPr>
          <w:rFonts w:ascii="Times New Roman" w:hAnsi="Times New Roman" w:cs="Times New Roman"/>
          <w:color w:val="000000"/>
          <w:sz w:val="24"/>
          <w:szCs w:val="24"/>
        </w:rPr>
        <w:t>It has been defined as ‘</w:t>
      </w:r>
      <w:r w:rsidR="00651EC6" w:rsidRPr="00ED00B0">
        <w:rPr>
          <w:rFonts w:ascii="Times New Roman" w:hAnsi="Times New Roman" w:cs="Times New Roman"/>
          <w:color w:val="000000"/>
          <w:sz w:val="24"/>
          <w:szCs w:val="24"/>
        </w:rPr>
        <w:t xml:space="preserve">a </w:t>
      </w:r>
      <w:hyperlink r:id="rId8" w:history="1">
        <w:r w:rsidR="00651EC6" w:rsidRPr="00481180">
          <w:rPr>
            <w:rStyle w:val="Hyperlink"/>
            <w:rFonts w:ascii="Times New Roman" w:hAnsi="Times New Roman" w:cs="Times New Roman"/>
            <w:color w:val="000000" w:themeColor="text1"/>
            <w:sz w:val="24"/>
            <w:szCs w:val="24"/>
            <w:u w:val="none"/>
          </w:rPr>
          <w:t>transaction</w:t>
        </w:r>
      </w:hyperlink>
      <w:r w:rsidR="00651EC6" w:rsidRPr="00ED00B0">
        <w:rPr>
          <w:rFonts w:ascii="Times New Roman" w:hAnsi="Times New Roman" w:cs="Times New Roman"/>
          <w:color w:val="000000"/>
          <w:sz w:val="24"/>
          <w:szCs w:val="24"/>
        </w:rPr>
        <w:t xml:space="preserve"> in which the buyers and sellers of a product act independently and have no relationship to each other. The concept of an </w:t>
      </w:r>
      <w:hyperlink r:id="rId9" w:history="1">
        <w:r w:rsidR="00651EC6" w:rsidRPr="00481180">
          <w:rPr>
            <w:rStyle w:val="Hyperlink"/>
            <w:rFonts w:ascii="Times New Roman" w:hAnsi="Times New Roman" w:cs="Times New Roman"/>
            <w:color w:val="000000" w:themeColor="text1"/>
            <w:sz w:val="24"/>
            <w:szCs w:val="24"/>
            <w:u w:val="none"/>
          </w:rPr>
          <w:t>arm's length transaction</w:t>
        </w:r>
      </w:hyperlink>
      <w:r w:rsidR="00651EC6" w:rsidRPr="00481180">
        <w:rPr>
          <w:rFonts w:ascii="Times New Roman" w:hAnsi="Times New Roman" w:cs="Times New Roman"/>
          <w:color w:val="000000" w:themeColor="text1"/>
          <w:sz w:val="24"/>
          <w:szCs w:val="24"/>
        </w:rPr>
        <w:t xml:space="preserve"> </w:t>
      </w:r>
      <w:r w:rsidR="00651EC6" w:rsidRPr="00ED00B0">
        <w:rPr>
          <w:rFonts w:ascii="Times New Roman" w:hAnsi="Times New Roman" w:cs="Times New Roman"/>
          <w:color w:val="000000"/>
          <w:sz w:val="24"/>
          <w:szCs w:val="24"/>
        </w:rPr>
        <w:t xml:space="preserve">is to ensure that both parties in the deal are acting in their own self-interest and are not subject to any pressure </w:t>
      </w:r>
      <w:r w:rsidR="00651EC6" w:rsidRPr="00481180">
        <w:rPr>
          <w:rFonts w:ascii="Times New Roman" w:hAnsi="Times New Roman" w:cs="Times New Roman"/>
          <w:color w:val="000000" w:themeColor="text1"/>
          <w:sz w:val="24"/>
          <w:szCs w:val="24"/>
        </w:rPr>
        <w:t xml:space="preserve">or </w:t>
      </w:r>
      <w:hyperlink r:id="rId10" w:history="1">
        <w:r w:rsidR="00651EC6" w:rsidRPr="00481180">
          <w:rPr>
            <w:rStyle w:val="Hyperlink"/>
            <w:rFonts w:ascii="Times New Roman" w:hAnsi="Times New Roman" w:cs="Times New Roman"/>
            <w:color w:val="000000" w:themeColor="text1"/>
            <w:sz w:val="24"/>
            <w:szCs w:val="24"/>
            <w:u w:val="none"/>
          </w:rPr>
          <w:t>duress</w:t>
        </w:r>
      </w:hyperlink>
      <w:r w:rsidR="00651EC6">
        <w:rPr>
          <w:rFonts w:ascii="Times New Roman" w:hAnsi="Times New Roman" w:cs="Times New Roman"/>
          <w:color w:val="000000"/>
          <w:sz w:val="24"/>
          <w:szCs w:val="24"/>
        </w:rPr>
        <w:t xml:space="preserve"> from the other party’</w:t>
      </w:r>
      <w:r w:rsidR="00651EC6">
        <w:rPr>
          <w:rStyle w:val="FootnoteReference"/>
          <w:rFonts w:ascii="Times New Roman" w:hAnsi="Times New Roman" w:cs="Times New Roman"/>
          <w:color w:val="000000"/>
          <w:sz w:val="24"/>
          <w:szCs w:val="24"/>
        </w:rPr>
        <w:footnoteReference w:id="7"/>
      </w:r>
    </w:p>
    <w:p w:rsidR="00651EC6" w:rsidRDefault="00133D73" w:rsidP="00651EC6">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It is</w:t>
      </w:r>
      <w:r w:rsidR="00A67A01">
        <w:rPr>
          <w:rFonts w:ascii="Times New Roman" w:hAnsi="Times New Roman" w:cs="Times New Roman"/>
          <w:color w:val="000000"/>
          <w:sz w:val="24"/>
          <w:szCs w:val="24"/>
        </w:rPr>
        <w:t xml:space="preserve"> the international transfer pricing standard that OECD member countries have agreed should be used for tax purposes by MNEs and tax administrators. It is</w:t>
      </w:r>
      <w:r>
        <w:rPr>
          <w:rFonts w:ascii="Times New Roman" w:hAnsi="Times New Roman" w:cs="Times New Roman"/>
          <w:color w:val="000000"/>
          <w:sz w:val="24"/>
          <w:szCs w:val="24"/>
        </w:rPr>
        <w:t xml:space="preserve"> designed to prevent profit shifting </w:t>
      </w:r>
      <w:r>
        <w:rPr>
          <w:rFonts w:ascii="Times New Roman" w:hAnsi="Times New Roman" w:cs="Times New Roman"/>
          <w:color w:val="000000"/>
          <w:sz w:val="24"/>
          <w:szCs w:val="24"/>
        </w:rPr>
        <w:lastRenderedPageBreak/>
        <w:t>and ensure that taxable profits are appropriately allocated among different jurisdictions, thereby promoting tax fairness and preventing tax avoidance.</w:t>
      </w:r>
      <w:r w:rsidR="00651EC6" w:rsidRPr="00651EC6">
        <w:rPr>
          <w:rFonts w:ascii="Times New Roman" w:hAnsi="Times New Roman" w:cs="Times New Roman"/>
          <w:sz w:val="24"/>
          <w:szCs w:val="24"/>
        </w:rPr>
        <w:t xml:space="preserve"> </w:t>
      </w:r>
    </w:p>
    <w:p w:rsidR="00651EC6" w:rsidRDefault="00651EC6" w:rsidP="00651EC6">
      <w:pPr>
        <w:spacing w:line="360" w:lineRule="auto"/>
        <w:jc w:val="both"/>
        <w:rPr>
          <w:rFonts w:ascii="Times New Roman" w:hAnsi="Times New Roman" w:cs="Times New Roman"/>
          <w:sz w:val="24"/>
          <w:szCs w:val="24"/>
        </w:rPr>
      </w:pPr>
      <w:r w:rsidRPr="00ED00B0">
        <w:rPr>
          <w:rFonts w:ascii="Times New Roman" w:hAnsi="Times New Roman" w:cs="Times New Roman"/>
          <w:sz w:val="24"/>
          <w:szCs w:val="24"/>
        </w:rPr>
        <w:t>Thus, the arm’s length principle is currently the accepted guiding principle in choosing an acceptable transfer price under</w:t>
      </w:r>
      <w:r>
        <w:rPr>
          <w:rFonts w:ascii="Times New Roman" w:hAnsi="Times New Roman" w:cs="Times New Roman"/>
          <w:sz w:val="24"/>
          <w:szCs w:val="24"/>
        </w:rPr>
        <w:t xml:space="preserve"> paragraph 1 of</w:t>
      </w:r>
      <w:r w:rsidRPr="00ED00B0">
        <w:rPr>
          <w:rFonts w:ascii="Times New Roman" w:hAnsi="Times New Roman" w:cs="Times New Roman"/>
          <w:sz w:val="24"/>
          <w:szCs w:val="24"/>
        </w:rPr>
        <w:t xml:space="preserve"> Article 9 of the</w:t>
      </w:r>
      <w:r>
        <w:rPr>
          <w:rFonts w:ascii="Times New Roman" w:hAnsi="Times New Roman" w:cs="Times New Roman"/>
          <w:sz w:val="24"/>
          <w:szCs w:val="24"/>
        </w:rPr>
        <w:t xml:space="preserve"> OECD Model Tax Convention</w:t>
      </w:r>
      <w:r w:rsidRPr="00ED00B0">
        <w:rPr>
          <w:rFonts w:ascii="Times New Roman" w:hAnsi="Times New Roman" w:cs="Times New Roman"/>
          <w:sz w:val="24"/>
          <w:szCs w:val="24"/>
        </w:rPr>
        <w:t>.</w:t>
      </w:r>
      <w:r>
        <w:rPr>
          <w:rFonts w:ascii="Times New Roman" w:hAnsi="Times New Roman" w:cs="Times New Roman"/>
          <w:sz w:val="24"/>
          <w:szCs w:val="24"/>
        </w:rPr>
        <w:t xml:space="preserve"> It provides guidance on how the arm’s length principle should be applied in practice. It states that when conditions are made or imposed between the two entities of an MNE that differ from those that would be made between independent entities, the profits that would have accrued to one of the entities are reallocated to account for these non-arm’s length conditions</w:t>
      </w:r>
      <w:r w:rsidR="00612FEE">
        <w:rPr>
          <w:rStyle w:val="FootnoteReference"/>
          <w:rFonts w:ascii="Times New Roman" w:hAnsi="Times New Roman" w:cs="Times New Roman"/>
          <w:sz w:val="24"/>
          <w:szCs w:val="24"/>
        </w:rPr>
        <w:footnoteReference w:id="8"/>
      </w:r>
      <w:r>
        <w:rPr>
          <w:rFonts w:ascii="Times New Roman" w:hAnsi="Times New Roman" w:cs="Times New Roman"/>
          <w:sz w:val="24"/>
          <w:szCs w:val="24"/>
        </w:rPr>
        <w:t>.</w:t>
      </w:r>
    </w:p>
    <w:p w:rsidR="002776BA" w:rsidRPr="008B3C6D" w:rsidRDefault="00651EC6" w:rsidP="00BA6DF7">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several reasons why OECD member countries and other jurisdictions have adopted the arm’s length principle. A major reason is that the principle provides broad parity of tax treatment for members of MNEs and independent enterprises. Because the principle puts associated and independent enterprises on a more equal footing for tax purposes, it avoids the creation of tax advantages or disadvantages that would otherwise distort the relative competitive positions of either type of entity. In so removing these tax considerations from economic decisions, the arm’s length principle promotes the growth of international trade and investment</w:t>
      </w:r>
      <w:r w:rsidR="008B3C6D">
        <w:rPr>
          <w:rStyle w:val="FootnoteReference"/>
          <w:rFonts w:ascii="Times New Roman" w:hAnsi="Times New Roman" w:cs="Times New Roman"/>
          <w:sz w:val="24"/>
          <w:szCs w:val="24"/>
        </w:rPr>
        <w:footnoteReference w:id="9"/>
      </w:r>
      <w:r>
        <w:rPr>
          <w:rFonts w:ascii="Times New Roman" w:hAnsi="Times New Roman" w:cs="Times New Roman"/>
          <w:sz w:val="24"/>
          <w:szCs w:val="24"/>
        </w:rPr>
        <w:t>.</w:t>
      </w:r>
    </w:p>
    <w:p w:rsidR="00EC6426" w:rsidRPr="00ED00B0" w:rsidRDefault="008B3C6D" w:rsidP="00EC6426">
      <w:pPr>
        <w:tabs>
          <w:tab w:val="left" w:pos="3874"/>
        </w:tabs>
        <w:spacing w:line="360" w:lineRule="auto"/>
        <w:jc w:val="both"/>
        <w:rPr>
          <w:rFonts w:ascii="Times New Roman" w:hAnsi="Times New Roman" w:cs="Times New Roman"/>
          <w:b/>
          <w:sz w:val="24"/>
          <w:szCs w:val="24"/>
        </w:rPr>
      </w:pPr>
      <w:r>
        <w:rPr>
          <w:rFonts w:ascii="Times New Roman" w:hAnsi="Times New Roman" w:cs="Times New Roman"/>
          <w:b/>
          <w:sz w:val="24"/>
          <w:szCs w:val="24"/>
        </w:rPr>
        <w:t>1.3</w:t>
      </w:r>
      <w:r w:rsidR="00083134">
        <w:rPr>
          <w:rFonts w:ascii="Times New Roman" w:hAnsi="Times New Roman" w:cs="Times New Roman"/>
          <w:b/>
          <w:sz w:val="24"/>
          <w:szCs w:val="24"/>
        </w:rPr>
        <w:t xml:space="preserve"> </w:t>
      </w:r>
      <w:r w:rsidR="00EC6426" w:rsidRPr="00ED00B0">
        <w:rPr>
          <w:rFonts w:ascii="Times New Roman" w:hAnsi="Times New Roman" w:cs="Times New Roman"/>
          <w:b/>
          <w:sz w:val="24"/>
          <w:szCs w:val="24"/>
        </w:rPr>
        <w:t>TRANSFER PRICING METHODS</w:t>
      </w:r>
      <w:r w:rsidR="00EC6426" w:rsidRPr="00ED00B0">
        <w:rPr>
          <w:rFonts w:ascii="Times New Roman" w:hAnsi="Times New Roman" w:cs="Times New Roman"/>
          <w:b/>
          <w:sz w:val="24"/>
          <w:szCs w:val="24"/>
        </w:rPr>
        <w:tab/>
      </w:r>
    </w:p>
    <w:p w:rsidR="00EC6426" w:rsidRPr="00ED00B0" w:rsidRDefault="00EC6426" w:rsidP="00EC6426">
      <w:pPr>
        <w:spacing w:line="360" w:lineRule="auto"/>
        <w:jc w:val="both"/>
        <w:rPr>
          <w:rFonts w:ascii="Times New Roman" w:hAnsi="Times New Roman" w:cs="Times New Roman"/>
          <w:sz w:val="24"/>
          <w:szCs w:val="24"/>
        </w:rPr>
      </w:pPr>
      <w:r w:rsidRPr="00ED00B0">
        <w:rPr>
          <w:rFonts w:ascii="Times New Roman" w:hAnsi="Times New Roman" w:cs="Times New Roman"/>
          <w:sz w:val="24"/>
          <w:szCs w:val="24"/>
        </w:rPr>
        <w:t>Transfer pricing is complex, ranging from international regulations to calculation methods which may involve many technicalities to manage The solution that tax authorities in OECD countries have adopted to reduce the probability of transfer price manipulation is to develop specific transfer pricing regulations. These regulations are based on the concept of the arm’s length standard, which requires two related parties to set the same transfer price for an intra- firm transaction as two unrelated parties would have set if they had been engaged in the same or similar transaction under the same or similar circumstances</w:t>
      </w:r>
      <w:r w:rsidRPr="00ED00B0">
        <w:rPr>
          <w:rStyle w:val="FootnoteReference"/>
          <w:rFonts w:ascii="Times New Roman" w:hAnsi="Times New Roman" w:cs="Times New Roman"/>
          <w:sz w:val="24"/>
          <w:szCs w:val="24"/>
        </w:rPr>
        <w:footnoteReference w:id="10"/>
      </w:r>
      <w:r w:rsidRPr="00ED00B0">
        <w:rPr>
          <w:rFonts w:ascii="Times New Roman" w:hAnsi="Times New Roman" w:cs="Times New Roman"/>
          <w:sz w:val="24"/>
          <w:szCs w:val="24"/>
        </w:rPr>
        <w:t>.</w:t>
      </w:r>
    </w:p>
    <w:p w:rsidR="00EC6426" w:rsidRPr="00671743" w:rsidRDefault="00EC6426" w:rsidP="00671743">
      <w:pPr>
        <w:tabs>
          <w:tab w:val="left" w:pos="3874"/>
        </w:tabs>
        <w:spacing w:line="360" w:lineRule="auto"/>
        <w:jc w:val="both"/>
        <w:rPr>
          <w:rFonts w:ascii="Times New Roman" w:hAnsi="Times New Roman" w:cs="Times New Roman"/>
          <w:b/>
          <w:sz w:val="24"/>
          <w:szCs w:val="24"/>
        </w:rPr>
      </w:pPr>
      <w:r w:rsidRPr="00ED00B0">
        <w:rPr>
          <w:rFonts w:ascii="Times New Roman" w:hAnsi="Times New Roman" w:cs="Times New Roman"/>
          <w:sz w:val="24"/>
          <w:szCs w:val="24"/>
        </w:rPr>
        <w:lastRenderedPageBreak/>
        <w:t>In the arm’s length principle, the market place comprising independent entities is the benchmark for verifying the transfer prices for intra- group transactions and their acceptability for taxation purposes</w:t>
      </w:r>
      <w:r w:rsidRPr="00ED00B0">
        <w:rPr>
          <w:rStyle w:val="FootnoteReference"/>
          <w:rFonts w:ascii="Times New Roman" w:hAnsi="Times New Roman" w:cs="Times New Roman"/>
          <w:sz w:val="24"/>
          <w:szCs w:val="24"/>
        </w:rPr>
        <w:footnoteReference w:id="11"/>
      </w:r>
      <w:r w:rsidRPr="00ED00B0">
        <w:rPr>
          <w:rFonts w:ascii="Times New Roman" w:hAnsi="Times New Roman" w:cs="Times New Roman"/>
          <w:sz w:val="24"/>
          <w:szCs w:val="24"/>
        </w:rPr>
        <w:t>.</w:t>
      </w:r>
      <w:r w:rsidR="00671743">
        <w:rPr>
          <w:rFonts w:ascii="Times New Roman" w:hAnsi="Times New Roman" w:cs="Times New Roman"/>
          <w:b/>
          <w:sz w:val="24"/>
          <w:szCs w:val="24"/>
        </w:rPr>
        <w:t xml:space="preserve"> </w:t>
      </w:r>
      <w:r w:rsidRPr="00ED00B0">
        <w:rPr>
          <w:rFonts w:ascii="Times New Roman" w:hAnsi="Times New Roman" w:cs="Times New Roman"/>
          <w:sz w:val="24"/>
          <w:szCs w:val="24"/>
        </w:rPr>
        <w:t>The OECD Guidelines</w:t>
      </w:r>
      <w:r w:rsidRPr="00ED00B0">
        <w:rPr>
          <w:rStyle w:val="FootnoteReference"/>
          <w:rFonts w:ascii="Times New Roman" w:hAnsi="Times New Roman" w:cs="Times New Roman"/>
          <w:sz w:val="24"/>
          <w:szCs w:val="24"/>
        </w:rPr>
        <w:footnoteReference w:id="12"/>
      </w:r>
      <w:r w:rsidRPr="00ED00B0">
        <w:rPr>
          <w:rFonts w:ascii="Times New Roman" w:hAnsi="Times New Roman" w:cs="Times New Roman"/>
          <w:sz w:val="24"/>
          <w:szCs w:val="24"/>
        </w:rPr>
        <w:t xml:space="preserve"> define</w:t>
      </w:r>
      <w:r w:rsidR="00671743">
        <w:rPr>
          <w:rFonts w:ascii="Times New Roman" w:hAnsi="Times New Roman" w:cs="Times New Roman"/>
          <w:sz w:val="24"/>
          <w:szCs w:val="24"/>
        </w:rPr>
        <w:t>d</w:t>
      </w:r>
      <w:r w:rsidRPr="00ED00B0">
        <w:rPr>
          <w:rFonts w:ascii="Times New Roman" w:hAnsi="Times New Roman" w:cs="Times New Roman"/>
          <w:sz w:val="24"/>
          <w:szCs w:val="24"/>
        </w:rPr>
        <w:t xml:space="preserve"> a number of methods that can be used to determine arm’s length prices for intra- group transactions. These methods are categorized as:</w:t>
      </w:r>
    </w:p>
    <w:p w:rsidR="00EC6426" w:rsidRPr="00ED00B0" w:rsidRDefault="00CC68B0" w:rsidP="00EC642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Traditional Transaction M</w:t>
      </w:r>
      <w:r w:rsidR="00EC6426" w:rsidRPr="00ED00B0">
        <w:rPr>
          <w:rFonts w:ascii="Times New Roman" w:hAnsi="Times New Roman" w:cs="Times New Roman"/>
          <w:sz w:val="24"/>
          <w:szCs w:val="24"/>
        </w:rPr>
        <w:t xml:space="preserve">ethods </w:t>
      </w:r>
    </w:p>
    <w:p w:rsidR="00EC6426" w:rsidRPr="00ED00B0" w:rsidRDefault="00CC68B0" w:rsidP="00EC642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Transactional Profit M</w:t>
      </w:r>
      <w:r w:rsidR="00EC6426" w:rsidRPr="00ED00B0">
        <w:rPr>
          <w:rFonts w:ascii="Times New Roman" w:hAnsi="Times New Roman" w:cs="Times New Roman"/>
          <w:sz w:val="24"/>
          <w:szCs w:val="24"/>
        </w:rPr>
        <w:t>ethods</w:t>
      </w:r>
    </w:p>
    <w:p w:rsidR="00EC6426" w:rsidRPr="008E1092" w:rsidRDefault="00545040" w:rsidP="00EC6426">
      <w:pPr>
        <w:pStyle w:val="ListParagraph"/>
        <w:numPr>
          <w:ilvl w:val="0"/>
          <w:numId w:val="6"/>
        </w:numPr>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Traditional Transaction Methods</w:t>
      </w:r>
      <w:r w:rsidR="00EC6426" w:rsidRPr="008E1092">
        <w:rPr>
          <w:rFonts w:ascii="Times New Roman" w:hAnsi="Times New Roman" w:cs="Times New Roman"/>
          <w:i/>
          <w:sz w:val="24"/>
          <w:szCs w:val="24"/>
        </w:rPr>
        <w:t>:</w:t>
      </w:r>
      <w:r w:rsidR="00EC6426" w:rsidRPr="008E1092">
        <w:rPr>
          <w:rFonts w:ascii="Times New Roman" w:hAnsi="Times New Roman" w:cs="Times New Roman"/>
          <w:sz w:val="24"/>
          <w:szCs w:val="24"/>
        </w:rPr>
        <w:t xml:space="preserve"> compares third- party prices, or other less direct measures such as gross margins on third party transactions, with the same measures on the transactions under review.</w:t>
      </w:r>
    </w:p>
    <w:p w:rsidR="00EC6426" w:rsidRPr="008E1092" w:rsidRDefault="00545040" w:rsidP="00EC6426">
      <w:pPr>
        <w:pStyle w:val="ListParagraph"/>
        <w:numPr>
          <w:ilvl w:val="0"/>
          <w:numId w:val="6"/>
        </w:numPr>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Transactional Profit Methods</w:t>
      </w:r>
      <w:r w:rsidR="00EC6426" w:rsidRPr="008E1092">
        <w:rPr>
          <w:rFonts w:ascii="Times New Roman" w:hAnsi="Times New Roman" w:cs="Times New Roman"/>
          <w:i/>
          <w:sz w:val="24"/>
          <w:szCs w:val="24"/>
        </w:rPr>
        <w:t>:</w:t>
      </w:r>
      <w:r w:rsidR="00EC6426" w:rsidRPr="008E1092">
        <w:rPr>
          <w:rFonts w:ascii="Times New Roman" w:hAnsi="Times New Roman" w:cs="Times New Roman"/>
          <w:sz w:val="24"/>
          <w:szCs w:val="24"/>
        </w:rPr>
        <w:t xml:space="preserve"> it examines the overall net operating profits that arise from the intra company transactions under review. These methods are generally less precise than the traditional transaction methods but more commonly applied as a result of practical difficulties in finding suitable information for the application of the traditional transaction methods.</w:t>
      </w:r>
    </w:p>
    <w:p w:rsidR="00EC6426" w:rsidRPr="00ED00B0" w:rsidRDefault="00EC6426" w:rsidP="00EC6426">
      <w:pPr>
        <w:spacing w:line="360" w:lineRule="auto"/>
        <w:jc w:val="both"/>
        <w:rPr>
          <w:rFonts w:ascii="Times New Roman" w:hAnsi="Times New Roman" w:cs="Times New Roman"/>
          <w:sz w:val="24"/>
          <w:szCs w:val="24"/>
        </w:rPr>
      </w:pPr>
      <w:r w:rsidRPr="00ED00B0">
        <w:rPr>
          <w:rFonts w:ascii="Times New Roman" w:hAnsi="Times New Roman" w:cs="Times New Roman"/>
          <w:sz w:val="24"/>
          <w:szCs w:val="24"/>
        </w:rPr>
        <w:t>The OECD Guidelines prescribe that the taxpayer should select the most appropriate method. If the two methods are equally reliable, the traditional transaction method is preferred.</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five methods in total that may be used to examine the arm’s length nature of the intra- company transaction. The methods as specified by the OECD Guidelines are</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w:t>
      </w:r>
    </w:p>
    <w:p w:rsidR="00EC6426" w:rsidRDefault="00EC6426" w:rsidP="00EC642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Comparable Uncontrolled Price Method (CUP)</w:t>
      </w:r>
    </w:p>
    <w:p w:rsidR="00EC6426" w:rsidRDefault="00EC6426" w:rsidP="00EC642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Cost Plus Method</w:t>
      </w:r>
    </w:p>
    <w:p w:rsidR="00EC6426" w:rsidRDefault="00EC6426" w:rsidP="00EC642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Resale Price Method</w:t>
      </w:r>
    </w:p>
    <w:p w:rsidR="00EC6426" w:rsidRDefault="00EC6426" w:rsidP="00EC642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Profit Split Method</w:t>
      </w:r>
    </w:p>
    <w:p w:rsidR="00EC6426" w:rsidRDefault="00EC6426" w:rsidP="00EC642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Transactional Net Margin Method</w:t>
      </w:r>
    </w:p>
    <w:p w:rsidR="00EC6426" w:rsidRPr="00756DAB" w:rsidRDefault="00B60C3A" w:rsidP="00EC6426">
      <w:pPr>
        <w:pStyle w:val="ListParagraph"/>
        <w:numPr>
          <w:ilvl w:val="0"/>
          <w:numId w:val="5"/>
        </w:numPr>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Co</w:t>
      </w:r>
      <w:r>
        <w:rPr>
          <w:rFonts w:ascii="Times New Roman" w:hAnsi="Times New Roman" w:cs="Times New Roman"/>
          <w:b/>
          <w:i/>
          <w:sz w:val="24"/>
          <w:szCs w:val="24"/>
        </w:rPr>
        <w:t>mparable Uncontrolled Price (CUP</w:t>
      </w:r>
      <w:r w:rsidRPr="008E1092">
        <w:rPr>
          <w:rFonts w:ascii="Times New Roman" w:hAnsi="Times New Roman" w:cs="Times New Roman"/>
          <w:b/>
          <w:i/>
          <w:sz w:val="24"/>
          <w:szCs w:val="24"/>
        </w:rPr>
        <w:t>) Method</w:t>
      </w:r>
      <w:r w:rsidR="00EC6426" w:rsidRPr="008E1092">
        <w:rPr>
          <w:rFonts w:ascii="Times New Roman" w:hAnsi="Times New Roman" w:cs="Times New Roman"/>
          <w:b/>
          <w:i/>
          <w:sz w:val="24"/>
          <w:szCs w:val="24"/>
        </w:rPr>
        <w:t xml:space="preserve">: </w:t>
      </w:r>
      <w:r w:rsidR="00EC6426" w:rsidRPr="008E1092">
        <w:rPr>
          <w:rFonts w:ascii="Times New Roman" w:hAnsi="Times New Roman" w:cs="Times New Roman"/>
          <w:sz w:val="24"/>
          <w:szCs w:val="24"/>
        </w:rPr>
        <w:t xml:space="preserve">it compares the price of a controlled transaction with the price of a comparable transaction between unrelated parties. The key </w:t>
      </w:r>
      <w:r w:rsidR="00EC6426" w:rsidRPr="008E1092">
        <w:rPr>
          <w:rFonts w:ascii="Times New Roman" w:hAnsi="Times New Roman" w:cs="Times New Roman"/>
          <w:sz w:val="24"/>
          <w:szCs w:val="24"/>
        </w:rPr>
        <w:lastRenderedPageBreak/>
        <w:t>requirement is that sufficient comparable transactions are available and can be reliably identified. This method is considered the most direct and reliable as it focuses on actual market transactions.</w:t>
      </w:r>
      <w:r w:rsidR="00EC6426" w:rsidRPr="008E1092">
        <w:rPr>
          <w:rFonts w:ascii="Times New Roman" w:hAnsi="Times New Roman" w:cs="Times New Roman"/>
          <w:i/>
          <w:sz w:val="24"/>
          <w:szCs w:val="24"/>
        </w:rPr>
        <w:t xml:space="preserve"> </w:t>
      </w:r>
      <w:r w:rsidR="00EC6426" w:rsidRPr="008E1092">
        <w:rPr>
          <w:rFonts w:ascii="Times New Roman" w:hAnsi="Times New Roman" w:cs="Times New Roman"/>
          <w:sz w:val="24"/>
          <w:szCs w:val="24"/>
        </w:rPr>
        <w:t>Thus, the CUP method is appropriate where there are no material differences between the transactions being compared or where such differences exist, reasonably accurate adjustments can be made to eliminate the effects of such material differences.</w:t>
      </w:r>
    </w:p>
    <w:p w:rsidR="00EC6426" w:rsidRPr="008E1092" w:rsidRDefault="00B60C3A" w:rsidP="00EC6426">
      <w:pPr>
        <w:pStyle w:val="ListParagraph"/>
        <w:numPr>
          <w:ilvl w:val="0"/>
          <w:numId w:val="5"/>
        </w:numPr>
        <w:tabs>
          <w:tab w:val="left" w:pos="2709"/>
        </w:tabs>
        <w:spacing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Cost </w:t>
      </w:r>
      <w:proofErr w:type="gramStart"/>
      <w:r>
        <w:rPr>
          <w:rFonts w:ascii="Times New Roman" w:hAnsi="Times New Roman" w:cs="Times New Roman"/>
          <w:b/>
          <w:i/>
          <w:sz w:val="24"/>
          <w:szCs w:val="24"/>
        </w:rPr>
        <w:t>Plus</w:t>
      </w:r>
      <w:proofErr w:type="gramEnd"/>
      <w:r>
        <w:rPr>
          <w:rFonts w:ascii="Times New Roman" w:hAnsi="Times New Roman" w:cs="Times New Roman"/>
          <w:b/>
          <w:i/>
          <w:sz w:val="24"/>
          <w:szCs w:val="24"/>
        </w:rPr>
        <w:t xml:space="preserve"> Method (CPM</w:t>
      </w:r>
      <w:r w:rsidRPr="008E1092">
        <w:rPr>
          <w:rFonts w:ascii="Times New Roman" w:hAnsi="Times New Roman" w:cs="Times New Roman"/>
          <w:b/>
          <w:i/>
          <w:sz w:val="24"/>
          <w:szCs w:val="24"/>
        </w:rPr>
        <w:t>):</w:t>
      </w:r>
      <w:r w:rsidRPr="008E1092">
        <w:rPr>
          <w:rFonts w:ascii="Times New Roman" w:hAnsi="Times New Roman" w:cs="Times New Roman"/>
          <w:sz w:val="24"/>
          <w:szCs w:val="24"/>
        </w:rPr>
        <w:t xml:space="preserve"> </w:t>
      </w:r>
      <w:r w:rsidR="00EC6426" w:rsidRPr="008E1092">
        <w:rPr>
          <w:rFonts w:ascii="Times New Roman" w:hAnsi="Times New Roman" w:cs="Times New Roman"/>
          <w:sz w:val="24"/>
          <w:szCs w:val="24"/>
        </w:rPr>
        <w:t xml:space="preserve">this method involves adding a reasonable mark-up (usually a percentage) to the costs incurred by the supplying party to determine the transfer price. The costs may include direct costs, indirect costs and an appropriate allocation of overhead expenses. The mark up should be consistent with industry standards and reflect the functions performed, risks assumed and assets employed. </w:t>
      </w:r>
    </w:p>
    <w:p w:rsidR="00EC6426" w:rsidRPr="008E1092" w:rsidRDefault="00B60C3A" w:rsidP="00EC6426">
      <w:pPr>
        <w:pStyle w:val="ListParagraph"/>
        <w:numPr>
          <w:ilvl w:val="0"/>
          <w:numId w:val="5"/>
        </w:numPr>
        <w:tabs>
          <w:tab w:val="left" w:pos="2709"/>
          <w:tab w:val="left" w:pos="3394"/>
        </w:tabs>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 xml:space="preserve">Resale Price Method </w:t>
      </w:r>
      <w:r w:rsidR="00EC6426" w:rsidRPr="008E1092">
        <w:rPr>
          <w:rFonts w:ascii="Times New Roman" w:hAnsi="Times New Roman" w:cs="Times New Roman"/>
          <w:b/>
          <w:i/>
          <w:sz w:val="24"/>
          <w:szCs w:val="24"/>
        </w:rPr>
        <w:t>(RPM):</w:t>
      </w:r>
      <w:r w:rsidR="00EC6426" w:rsidRPr="008E1092">
        <w:rPr>
          <w:rFonts w:ascii="Times New Roman" w:hAnsi="Times New Roman" w:cs="Times New Roman"/>
          <w:sz w:val="24"/>
          <w:szCs w:val="24"/>
        </w:rPr>
        <w:t xml:space="preserve"> this method is used when a related party purchases goods from an associated enterprise and resells them to unrelated customers. It determines the appropriate transfer price by applying a reasonable gross margin to the resale price of the goods. This method takes into account the functions performed, risks assumed and assets employed by the reselling party.</w:t>
      </w:r>
    </w:p>
    <w:p w:rsidR="00EC6426" w:rsidRPr="008E1092" w:rsidRDefault="00B60C3A" w:rsidP="00EC6426">
      <w:pPr>
        <w:pStyle w:val="ListParagraph"/>
        <w:numPr>
          <w:ilvl w:val="0"/>
          <w:numId w:val="5"/>
        </w:numPr>
        <w:tabs>
          <w:tab w:val="left" w:pos="2709"/>
          <w:tab w:val="left" w:pos="3394"/>
        </w:tabs>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 xml:space="preserve">Profit Split Method </w:t>
      </w:r>
      <w:r w:rsidR="00EC6426" w:rsidRPr="008E1092">
        <w:rPr>
          <w:rFonts w:ascii="Times New Roman" w:hAnsi="Times New Roman" w:cs="Times New Roman"/>
          <w:b/>
          <w:i/>
          <w:sz w:val="24"/>
          <w:szCs w:val="24"/>
        </w:rPr>
        <w:t xml:space="preserve">(PSM): </w:t>
      </w:r>
      <w:r w:rsidR="00EC6426" w:rsidRPr="008E1092">
        <w:rPr>
          <w:rFonts w:ascii="Times New Roman" w:hAnsi="Times New Roman" w:cs="Times New Roman"/>
          <w:sz w:val="24"/>
          <w:szCs w:val="24"/>
        </w:rPr>
        <w:t xml:space="preserve"> the PSM is employed when the contributions of both parties involved in a controlled transaction cannot be reliably evaluated using other methods. This method allocates profits between related parties on an analysis of their relative contributions to the overall value created by the transaction.it requires a thorough understanding of the functions performed, risks assumed and assets employed by each party. </w:t>
      </w:r>
    </w:p>
    <w:p w:rsidR="00EC6426" w:rsidRDefault="00B60C3A" w:rsidP="00EC6426">
      <w:pPr>
        <w:pStyle w:val="ListParagraph"/>
        <w:numPr>
          <w:ilvl w:val="0"/>
          <w:numId w:val="5"/>
        </w:numPr>
        <w:tabs>
          <w:tab w:val="left" w:pos="2709"/>
          <w:tab w:val="left" w:pos="3394"/>
        </w:tabs>
        <w:spacing w:line="360" w:lineRule="auto"/>
        <w:jc w:val="both"/>
        <w:rPr>
          <w:rFonts w:ascii="Times New Roman" w:hAnsi="Times New Roman" w:cs="Times New Roman"/>
          <w:sz w:val="24"/>
          <w:szCs w:val="24"/>
        </w:rPr>
      </w:pPr>
      <w:r w:rsidRPr="008E1092">
        <w:rPr>
          <w:rFonts w:ascii="Times New Roman" w:hAnsi="Times New Roman" w:cs="Times New Roman"/>
          <w:b/>
          <w:i/>
          <w:sz w:val="24"/>
          <w:szCs w:val="24"/>
        </w:rPr>
        <w:t xml:space="preserve">Transactional Net Margin Method </w:t>
      </w:r>
      <w:r w:rsidR="00EC6426" w:rsidRPr="008E1092">
        <w:rPr>
          <w:rFonts w:ascii="Times New Roman" w:hAnsi="Times New Roman" w:cs="Times New Roman"/>
          <w:b/>
          <w:i/>
          <w:sz w:val="24"/>
          <w:szCs w:val="24"/>
        </w:rPr>
        <w:t>(TNMM):</w:t>
      </w:r>
      <w:r w:rsidR="00EC6426" w:rsidRPr="008E1092">
        <w:rPr>
          <w:rFonts w:ascii="Times New Roman" w:hAnsi="Times New Roman" w:cs="Times New Roman"/>
          <w:sz w:val="24"/>
          <w:szCs w:val="24"/>
        </w:rPr>
        <w:t xml:space="preserve">  this method compares the net profit margin of a controlled transaction to a comparable uncontrolled transaction or a set of comparable transactions. It assesses the profitability of the tested party by examining the ratio of its operating profit to an appropriate base such as sales, assets, or costs. This method focuses on the relative profitability of the tested party compared to unrelated parties engaged in similar transactions.</w:t>
      </w:r>
    </w:p>
    <w:p w:rsidR="00F730CF" w:rsidRDefault="00F730CF" w:rsidP="00F730CF">
      <w:pPr>
        <w:tabs>
          <w:tab w:val="left" w:pos="2709"/>
          <w:tab w:val="left" w:pos="3394"/>
        </w:tabs>
        <w:spacing w:line="360" w:lineRule="auto"/>
        <w:jc w:val="both"/>
        <w:rPr>
          <w:rFonts w:ascii="Times New Roman" w:hAnsi="Times New Roman" w:cs="Times New Roman"/>
          <w:sz w:val="24"/>
          <w:szCs w:val="24"/>
        </w:rPr>
      </w:pPr>
    </w:p>
    <w:p w:rsidR="00F730CF" w:rsidRPr="00F730CF" w:rsidRDefault="00F730CF" w:rsidP="00F730CF">
      <w:pPr>
        <w:tabs>
          <w:tab w:val="left" w:pos="2709"/>
          <w:tab w:val="left" w:pos="3394"/>
        </w:tabs>
        <w:spacing w:line="360" w:lineRule="auto"/>
        <w:jc w:val="both"/>
        <w:rPr>
          <w:rFonts w:ascii="Times New Roman" w:hAnsi="Times New Roman" w:cs="Times New Roman"/>
          <w:sz w:val="24"/>
          <w:szCs w:val="24"/>
        </w:rPr>
      </w:pPr>
    </w:p>
    <w:p w:rsidR="00EC6426" w:rsidRPr="00EC6426" w:rsidRDefault="00AB29CF" w:rsidP="00EC6426">
      <w:pPr>
        <w:tabs>
          <w:tab w:val="left" w:pos="2709"/>
          <w:tab w:val="left" w:pos="3394"/>
        </w:tabs>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8B3C6D">
        <w:rPr>
          <w:rFonts w:ascii="Times New Roman" w:hAnsi="Times New Roman" w:cs="Times New Roman"/>
          <w:b/>
          <w:sz w:val="24"/>
          <w:szCs w:val="24"/>
        </w:rPr>
        <w:t>.4</w:t>
      </w:r>
      <w:r>
        <w:rPr>
          <w:rFonts w:ascii="Times New Roman" w:hAnsi="Times New Roman" w:cs="Times New Roman"/>
          <w:b/>
          <w:sz w:val="24"/>
          <w:szCs w:val="24"/>
        </w:rPr>
        <w:t xml:space="preserve"> </w:t>
      </w:r>
      <w:r w:rsidR="00EC6426" w:rsidRPr="00EC6426">
        <w:rPr>
          <w:rFonts w:ascii="Times New Roman" w:hAnsi="Times New Roman" w:cs="Times New Roman"/>
          <w:b/>
          <w:sz w:val="24"/>
          <w:szCs w:val="24"/>
        </w:rPr>
        <w:t>REGULATORY FRAMEWORK AND COMPLIANCE</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At the International level, the Organization for Economic Co-operation and Development (OECD) has developed Guidelines on Transfer Pricing to assist MNEs and Tax Administrators in the evaluation of Transfer Pricing transactions and provide an element of consistency among countries in the application of such rules.</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The first Guidelines were released in 1995 and have undergone various revisions over the years. The most recent edition is the 2022 Guidelines which provide guidance on the application of the ‘arm’s length principle’ which represents the international consensus on the valuation, for income tax purposes, cross-border transactions between associated enterprises</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also the OECD Model Convention Model which was first published in 1963, then later in 1977 following up some work already done by the League of Nations; and then after World War II by the United Nations. </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The UN Model is in many respects similar to the OECD Model but the differences (such as preserving greater taxation rights to countries hosting investments) are very significant, especially for developing countries.</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There has been a widespread view, historically, that the OECD Model was most appropriate for negotiations between developed countries and less suitable for capital importing on developing countries. In general, it can be said that the UN Model preserves more taxation rights to the source state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Host state of investment) or capital importing country than the OECD model and the UN Model has been embraced by many developing states as the basis of their treaty policy. Some developed countries also adopt some UN Model provisions, and at times it has influenced changes to give aspects of the OECD Model a greater source country orientation</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the economy expands into every corner of the world, many national authorities are seeking more effective ways to protect their tax bases. Thus, both developed and developing countries have </w:t>
      </w:r>
      <w:r>
        <w:rPr>
          <w:rFonts w:ascii="Times New Roman" w:hAnsi="Times New Roman" w:cs="Times New Roman"/>
          <w:sz w:val="24"/>
          <w:szCs w:val="24"/>
        </w:rPr>
        <w:lastRenderedPageBreak/>
        <w:t>established transfer pricing regulations that align with international standards often based on the guidelines set by the Organization for Economic Co-operation and Development (OECD). These regulations aim to prevent base erosion and profit shifting by ensuring that transfer prices are determined through methods based on comparability and economic substance</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w:t>
      </w:r>
    </w:p>
    <w:p w:rsidR="00EC6426" w:rsidRPr="00917794" w:rsidRDefault="00EC6426" w:rsidP="00917794">
      <w:pPr>
        <w:spacing w:line="360" w:lineRule="auto"/>
        <w:jc w:val="both"/>
        <w:rPr>
          <w:rFonts w:ascii="Times New Roman" w:hAnsi="Times New Roman" w:cs="Times New Roman"/>
          <w:sz w:val="24"/>
          <w:szCs w:val="24"/>
        </w:rPr>
      </w:pPr>
      <w:r>
        <w:rPr>
          <w:rFonts w:ascii="Times New Roman" w:hAnsi="Times New Roman" w:cs="Times New Roman"/>
          <w:sz w:val="24"/>
          <w:szCs w:val="24"/>
        </w:rPr>
        <w:t>Transfer pricing regimes are creations of domestic law</w:t>
      </w:r>
      <w:r w:rsidR="00AB29CF">
        <w:rPr>
          <w:rFonts w:ascii="Times New Roman" w:hAnsi="Times New Roman" w:cs="Times New Roman"/>
          <w:sz w:val="24"/>
          <w:szCs w:val="24"/>
        </w:rPr>
        <w:t>,</w:t>
      </w:r>
      <w:r>
        <w:rPr>
          <w:rFonts w:ascii="Times New Roman" w:hAnsi="Times New Roman" w:cs="Times New Roman"/>
          <w:sz w:val="24"/>
          <w:szCs w:val="24"/>
        </w:rPr>
        <w:t xml:space="preserve"> and each country</w:t>
      </w:r>
      <w:r w:rsidR="00AB29CF">
        <w:rPr>
          <w:rFonts w:ascii="Times New Roman" w:hAnsi="Times New Roman" w:cs="Times New Roman"/>
          <w:sz w:val="24"/>
          <w:szCs w:val="24"/>
        </w:rPr>
        <w:t xml:space="preserve"> are required to formulate detailed domestic legislation</w:t>
      </w:r>
      <w:r>
        <w:rPr>
          <w:rFonts w:ascii="Times New Roman" w:hAnsi="Times New Roman" w:cs="Times New Roman"/>
          <w:sz w:val="24"/>
          <w:szCs w:val="24"/>
        </w:rPr>
        <w:t xml:space="preserve"> for implementing transfer prici</w:t>
      </w:r>
      <w:r w:rsidR="00AB29CF">
        <w:rPr>
          <w:rFonts w:ascii="Times New Roman" w:hAnsi="Times New Roman" w:cs="Times New Roman"/>
          <w:sz w:val="24"/>
          <w:szCs w:val="24"/>
        </w:rPr>
        <w:t>ng rules</w:t>
      </w:r>
      <w:r>
        <w:rPr>
          <w:rFonts w:ascii="Times New Roman" w:hAnsi="Times New Roman" w:cs="Times New Roman"/>
          <w:sz w:val="24"/>
          <w:szCs w:val="24"/>
        </w:rPr>
        <w:t>.</w:t>
      </w:r>
      <w:r w:rsidR="00917794">
        <w:rPr>
          <w:rFonts w:ascii="Times New Roman" w:hAnsi="Times New Roman" w:cs="Times New Roman"/>
          <w:sz w:val="24"/>
          <w:szCs w:val="24"/>
        </w:rPr>
        <w:t xml:space="preserve"> </w:t>
      </w:r>
      <w:r>
        <w:rPr>
          <w:rFonts w:ascii="Times New Roman" w:hAnsi="Times New Roman" w:cs="Times New Roman"/>
          <w:color w:val="000000"/>
          <w:sz w:val="24"/>
          <w:szCs w:val="24"/>
        </w:rPr>
        <w:t>The United Nations (UN) and OECD Model Conventions, the OECD Guidelines</w:t>
      </w:r>
      <w:r>
        <w:rPr>
          <w:rStyle w:val="FootnoteReference"/>
          <w:rFonts w:ascii="Times New Roman" w:hAnsi="Times New Roman" w:cs="Times New Roman"/>
          <w:color w:val="000000"/>
          <w:sz w:val="24"/>
          <w:szCs w:val="24"/>
        </w:rPr>
        <w:footnoteReference w:id="17"/>
      </w:r>
      <w:r>
        <w:rPr>
          <w:rFonts w:ascii="Times New Roman" w:hAnsi="Times New Roman" w:cs="Times New Roman"/>
          <w:color w:val="000000"/>
          <w:sz w:val="24"/>
          <w:szCs w:val="24"/>
        </w:rPr>
        <w:t xml:space="preserve"> and Domestic Legislation of various countries have provided examples for the creation of transfer pricing legislation by nation states worldwide, as a response to increasing globalization of business and the concern that this may be abused to the detriment of countries without such legislation. Many other countries depend on anti-avoidance rules to deal with the most abusive forms of transfer pricing.</w:t>
      </w:r>
      <w:r w:rsidR="00163B5B">
        <w:rPr>
          <w:rFonts w:ascii="Times New Roman" w:hAnsi="Times New Roman" w:cs="Times New Roman"/>
          <w:color w:val="000000"/>
          <w:sz w:val="24"/>
          <w:szCs w:val="24"/>
        </w:rPr>
        <w:t xml:space="preserve"> </w:t>
      </w:r>
    </w:p>
    <w:p w:rsidR="00EC6426" w:rsidRDefault="00EC6426" w:rsidP="00EC6426">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Nigeria ha</w:t>
      </w:r>
      <w:r w:rsidR="00AB29CF">
        <w:rPr>
          <w:rFonts w:ascii="Times New Roman" w:hAnsi="Times New Roman" w:cs="Times New Roman"/>
          <w:color w:val="000000"/>
          <w:sz w:val="24"/>
          <w:szCs w:val="24"/>
        </w:rPr>
        <w:t>s a Transfer Pricing regulation</w:t>
      </w:r>
      <w:r>
        <w:rPr>
          <w:rFonts w:ascii="Times New Roman" w:hAnsi="Times New Roman" w:cs="Times New Roman"/>
          <w:color w:val="000000"/>
          <w:sz w:val="24"/>
          <w:szCs w:val="24"/>
        </w:rPr>
        <w:t>, which is known as the Income Tax (Transfer Pricing Regulations), 2018 that was issued by the Federal Inland Revenue Service (FIRS) with effect from 12</w:t>
      </w:r>
      <w:r w:rsidR="00AB29CF" w:rsidRPr="00AB29CF">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March 2018</w:t>
      </w:r>
      <w:r>
        <w:rPr>
          <w:rStyle w:val="FootnoteReference"/>
          <w:rFonts w:ascii="Times New Roman" w:hAnsi="Times New Roman" w:cs="Times New Roman"/>
          <w:color w:val="000000"/>
          <w:sz w:val="24"/>
          <w:szCs w:val="24"/>
        </w:rPr>
        <w:footnoteReference w:id="18"/>
      </w:r>
      <w:r>
        <w:rPr>
          <w:rFonts w:ascii="Times New Roman" w:hAnsi="Times New Roman" w:cs="Times New Roman"/>
          <w:color w:val="000000"/>
          <w:sz w:val="24"/>
          <w:szCs w:val="24"/>
        </w:rPr>
        <w:t>.  The Regulation was made under the Federal Inland Revenue Service (Establishment) Act, 2007</w:t>
      </w:r>
      <w:r>
        <w:rPr>
          <w:rStyle w:val="FootnoteReference"/>
          <w:rFonts w:ascii="Times New Roman" w:hAnsi="Times New Roman" w:cs="Times New Roman"/>
          <w:color w:val="000000"/>
          <w:sz w:val="24"/>
          <w:szCs w:val="24"/>
        </w:rPr>
        <w:footnoteReference w:id="19"/>
      </w:r>
      <w:r>
        <w:rPr>
          <w:rFonts w:ascii="Times New Roman" w:hAnsi="Times New Roman" w:cs="Times New Roman"/>
          <w:color w:val="000000"/>
          <w:sz w:val="24"/>
          <w:szCs w:val="24"/>
        </w:rPr>
        <w:t>. The objectives of the Regulations are:</w:t>
      </w:r>
    </w:p>
    <w:p w:rsidR="00EC6426" w:rsidRDefault="00EC6426" w:rsidP="00EC6426">
      <w:pPr>
        <w:pStyle w:val="ListParagraph"/>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Ensure that Nigeria is able to tax on an appropriate taxable basis corresponding to the economic activities deployed by taxable persons in Nigeria, including in their transactions and dealings with associated enterprises.</w:t>
      </w:r>
    </w:p>
    <w:p w:rsidR="00EC6426" w:rsidRDefault="00EC6426" w:rsidP="00EC6426">
      <w:pPr>
        <w:pStyle w:val="ListParagraph"/>
        <w:numPr>
          <w:ilvl w:val="0"/>
          <w:numId w:val="3"/>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Provide the Nigerian authorities the tools to fight tax evasion through over or under pricing of controlled transactions between associated enterprises.</w:t>
      </w:r>
    </w:p>
    <w:p w:rsidR="00EC6426" w:rsidRDefault="00EC6426" w:rsidP="00EC6426">
      <w:pPr>
        <w:pStyle w:val="ListParagraph"/>
        <w:numPr>
          <w:ilvl w:val="0"/>
          <w:numId w:val="3"/>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Reduce the risk of economic double taxation</w:t>
      </w:r>
    </w:p>
    <w:p w:rsidR="00EC6426" w:rsidRDefault="00EC6426" w:rsidP="00EC6426">
      <w:pPr>
        <w:pStyle w:val="ListParagraph"/>
        <w:numPr>
          <w:ilvl w:val="0"/>
          <w:numId w:val="3"/>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Provide a level playing field between multinational enterprises and independent enterprises doing business within Nigeria </w:t>
      </w:r>
    </w:p>
    <w:p w:rsidR="00EC6426" w:rsidRDefault="00EC6426" w:rsidP="00EC6426">
      <w:pPr>
        <w:pStyle w:val="ListParagraph"/>
        <w:numPr>
          <w:ilvl w:val="0"/>
          <w:numId w:val="3"/>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Provide taxable persons with certainty of transfer pricing treatment in Nigeria.</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the Finance Act 2019</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contains various tax changes, which affected transfer pricing with effect from 13</w:t>
      </w:r>
      <w:r w:rsidR="00AB29CF" w:rsidRPr="00AB29CF">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2020.  Section 24 (a) introduced a restriction on deductibility of interest for a Nigerian company or a fixed base of a foreign company in Nigeria that has incurred any interest or deduction of similar nature where loans or debts are obtained from a foreign connected person, such interest or deduction allowed under section 24(a) of C</w:t>
      </w:r>
      <w:r w:rsidR="00AB29CF">
        <w:rPr>
          <w:rFonts w:ascii="Times New Roman" w:hAnsi="Times New Roman" w:cs="Times New Roman"/>
          <w:sz w:val="24"/>
          <w:szCs w:val="24"/>
        </w:rPr>
        <w:t xml:space="preserve">ompany </w:t>
      </w:r>
      <w:r>
        <w:rPr>
          <w:rFonts w:ascii="Times New Roman" w:hAnsi="Times New Roman" w:cs="Times New Roman"/>
          <w:sz w:val="24"/>
          <w:szCs w:val="24"/>
        </w:rPr>
        <w:t>I</w:t>
      </w:r>
      <w:r w:rsidR="00AB29CF">
        <w:rPr>
          <w:rFonts w:ascii="Times New Roman" w:hAnsi="Times New Roman" w:cs="Times New Roman"/>
          <w:sz w:val="24"/>
          <w:szCs w:val="24"/>
        </w:rPr>
        <w:t xml:space="preserve">ncome </w:t>
      </w:r>
      <w:r>
        <w:rPr>
          <w:rFonts w:ascii="Times New Roman" w:hAnsi="Times New Roman" w:cs="Times New Roman"/>
          <w:sz w:val="24"/>
          <w:szCs w:val="24"/>
        </w:rPr>
        <w:t>T</w:t>
      </w:r>
      <w:r w:rsidR="00AB29CF">
        <w:rPr>
          <w:rFonts w:ascii="Times New Roman" w:hAnsi="Times New Roman" w:cs="Times New Roman"/>
          <w:sz w:val="24"/>
          <w:szCs w:val="24"/>
        </w:rPr>
        <w:t xml:space="preserve">ax </w:t>
      </w:r>
      <w:r>
        <w:rPr>
          <w:rFonts w:ascii="Times New Roman" w:hAnsi="Times New Roman" w:cs="Times New Roman"/>
          <w:sz w:val="24"/>
          <w:szCs w:val="24"/>
        </w:rPr>
        <w:t>A</w:t>
      </w:r>
      <w:r w:rsidR="00AB29CF">
        <w:rPr>
          <w:rFonts w:ascii="Times New Roman" w:hAnsi="Times New Roman" w:cs="Times New Roman"/>
          <w:sz w:val="24"/>
          <w:szCs w:val="24"/>
        </w:rPr>
        <w:t>ct</w:t>
      </w:r>
      <w:r>
        <w:rPr>
          <w:rFonts w:ascii="Times New Roman" w:hAnsi="Times New Roman" w:cs="Times New Roman"/>
          <w:sz w:val="24"/>
          <w:szCs w:val="24"/>
        </w:rPr>
        <w:t xml:space="preserve"> shall be restricted to only 30% of the company’s earnings before interest, tax, depreciation and amortization.</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also the introduction of E-TP PLAT 2.0 in March 2020</w:t>
      </w:r>
      <w:r>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by the Federal Inland Revenue Service (FIRS), this electronic filing solution allows companies with Transfer Pricing and Country by Country Reporting obligations to file their annual returns electronically. The platform eased the compliance burden on Taxpayers, allows FIRS better monitor compliance, and analyses the data provided by taxpayers in their returns.</w:t>
      </w:r>
    </w:p>
    <w:p w:rsidR="00EC6426"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To further, intensify efforts towards Transfer Pricing compliance, the FIRS conducts Transfer Pricing audit exercises by requesting the submission of Transfer Pricing documentation and other supporting documents. The audit focuses primarily on reviewing Transfer Pricing Returns and supporting documents to independently confirm the arm’s length nature of the related party transactions as documented in the reports</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In the Transfer Pricing maiden case in Nigeria, </w:t>
      </w:r>
      <w:r w:rsidRPr="003C0FF2">
        <w:rPr>
          <w:rFonts w:ascii="Times New Roman" w:hAnsi="Times New Roman" w:cs="Times New Roman"/>
          <w:i/>
          <w:sz w:val="24"/>
          <w:szCs w:val="24"/>
        </w:rPr>
        <w:t xml:space="preserve">Prime </w:t>
      </w:r>
      <w:proofErr w:type="spellStart"/>
      <w:r w:rsidRPr="003C0FF2">
        <w:rPr>
          <w:rFonts w:ascii="Times New Roman" w:hAnsi="Times New Roman" w:cs="Times New Roman"/>
          <w:i/>
          <w:sz w:val="24"/>
          <w:szCs w:val="24"/>
        </w:rPr>
        <w:t>Plastichem</w:t>
      </w:r>
      <w:proofErr w:type="spellEnd"/>
      <w:r w:rsidRPr="003C0FF2">
        <w:rPr>
          <w:rFonts w:ascii="Times New Roman" w:hAnsi="Times New Roman" w:cs="Times New Roman"/>
          <w:i/>
          <w:sz w:val="24"/>
          <w:szCs w:val="24"/>
        </w:rPr>
        <w:t xml:space="preserve"> Nigeria Ltd (PPNL) v Federal Inland Revenue Service (FIRS)</w:t>
      </w:r>
      <w:r>
        <w:rPr>
          <w:rStyle w:val="FootnoteReference"/>
          <w:rFonts w:ascii="Times New Roman" w:hAnsi="Times New Roman" w:cs="Times New Roman"/>
          <w:i/>
          <w:sz w:val="24"/>
          <w:szCs w:val="24"/>
        </w:rPr>
        <w:footnoteReference w:id="23"/>
      </w:r>
      <w:r>
        <w:rPr>
          <w:rFonts w:ascii="Times New Roman" w:hAnsi="Times New Roman" w:cs="Times New Roman"/>
          <w:sz w:val="24"/>
          <w:szCs w:val="24"/>
        </w:rPr>
        <w:t xml:space="preserve">, in 2013 PPNL applied the Comparable Uncontrolled Price (CUP) method in evaluating the arm’s length nature of its purchase of petrochemical products from its offshore-related party, </w:t>
      </w:r>
      <w:proofErr w:type="spellStart"/>
      <w:r>
        <w:rPr>
          <w:rFonts w:ascii="Times New Roman" w:hAnsi="Times New Roman" w:cs="Times New Roman"/>
          <w:sz w:val="24"/>
          <w:szCs w:val="24"/>
        </w:rPr>
        <w:t>Vinmar</w:t>
      </w:r>
      <w:proofErr w:type="spellEnd"/>
      <w:r>
        <w:rPr>
          <w:rFonts w:ascii="Times New Roman" w:hAnsi="Times New Roman" w:cs="Times New Roman"/>
          <w:sz w:val="24"/>
          <w:szCs w:val="24"/>
        </w:rPr>
        <w:t xml:space="preserve"> Overseas Limited (VOL).  In 2014, it applied the Transactional Net Margin Method (TNMM) for the same purpose. The Tax Appeal Tribunal ruled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FIRS and required PPNL to pay the taxes due of about 1.7 billion naira. Dissatisfied, with the additional assessment of ₦1,738,481,875.33 issued by the </w:t>
      </w:r>
      <w:r>
        <w:rPr>
          <w:rFonts w:ascii="Times New Roman" w:hAnsi="Times New Roman" w:cs="Times New Roman"/>
          <w:sz w:val="24"/>
          <w:szCs w:val="24"/>
        </w:rPr>
        <w:lastRenderedPageBreak/>
        <w:t>FIRS arising from the TP audit of its Related Party Transaction for the 2013 and 2014 Financial Years and other grounds, PPNL approached TAT.</w:t>
      </w:r>
    </w:p>
    <w:p w:rsidR="00AB29CF"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Tribunal opined that the choice of the TNMM method by the FIRS rather than the CUP method used by the company in benchmarking the company’s transactions is in line with the TP Regulations and the OECD TP Guidelines based on the following reasons; </w:t>
      </w:r>
    </w:p>
    <w:p w:rsidR="00EC6426" w:rsidRPr="00165042" w:rsidRDefault="00EC6426" w:rsidP="00AB29C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although the company used CUP method, it could not provide a suitable justification for its use, the company admitted that it changed from CUP method to TNMM in the subsequent year for a lack of reliable data, based on paragraph 5 (2) of the TP Regulations, the availability of reliable information is a necessary condition in determining the most appropriate TP method, consistency in the application of a benchmarking method is crucial according to the OECD TP Guidelines of 2010 of which the company defaulted thus the Tribunal ruled in favor of FIRS on all grounds. The Tribunal’s decision in this case reiterate the provision of Regulation 6 (10) of the TP Regulation, which places the burden of proof of the arm’s length nature of a controlled transaction on the taxable person</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w:t>
      </w:r>
    </w:p>
    <w:p w:rsidR="00EC6426" w:rsidRPr="00972071" w:rsidRDefault="00EC6426" w:rsidP="00EC6426">
      <w:pPr>
        <w:spacing w:line="360" w:lineRule="auto"/>
        <w:jc w:val="both"/>
        <w:rPr>
          <w:rFonts w:ascii="Times New Roman" w:hAnsi="Times New Roman" w:cs="Times New Roman"/>
          <w:sz w:val="24"/>
          <w:szCs w:val="24"/>
        </w:rPr>
      </w:pPr>
      <w:r>
        <w:rPr>
          <w:rFonts w:ascii="Times New Roman" w:hAnsi="Times New Roman" w:cs="Times New Roman"/>
          <w:sz w:val="24"/>
          <w:szCs w:val="24"/>
        </w:rPr>
        <w:t>Compliance with transfer pricing regulations is crucial for MNCs to avoid legal and financial consequences. Non-compliance can lead to audits, penalties, double taxation and reputational damage. Therefore, it is imperative for MNCs to develop robust transfer pricing policies, maintain accurate documentation and conduct thorough analysis to demonstrate that their transfer pricing practices are consistent with the arm’s length principle.</w:t>
      </w:r>
    </w:p>
    <w:p w:rsidR="00EC6426" w:rsidRPr="000E1A25" w:rsidRDefault="008B3C6D" w:rsidP="00EC6426">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w:t>
      </w:r>
      <w:r w:rsidR="00AB29CF">
        <w:rPr>
          <w:rFonts w:ascii="Times New Roman" w:hAnsi="Times New Roman" w:cs="Times New Roman"/>
          <w:b/>
          <w:sz w:val="24"/>
          <w:szCs w:val="24"/>
        </w:rPr>
        <w:t xml:space="preserve"> </w:t>
      </w:r>
      <w:r w:rsidR="00EC6426" w:rsidRPr="000E1A25">
        <w:rPr>
          <w:rFonts w:ascii="Times New Roman" w:hAnsi="Times New Roman" w:cs="Times New Roman"/>
          <w:b/>
          <w:sz w:val="24"/>
          <w:szCs w:val="24"/>
        </w:rPr>
        <w:t>RISK MITIGATING STRATEGIES</w:t>
      </w:r>
      <w:r w:rsidR="00EC6426">
        <w:rPr>
          <w:rFonts w:ascii="Times New Roman" w:hAnsi="Times New Roman" w:cs="Times New Roman"/>
          <w:b/>
          <w:sz w:val="24"/>
          <w:szCs w:val="24"/>
        </w:rPr>
        <w:t xml:space="preserve"> OF TRANSFER PRICING</w:t>
      </w:r>
    </w:p>
    <w:p w:rsidR="00EC6426" w:rsidRPr="00ED00B0" w:rsidRDefault="00EC6426" w:rsidP="00EC6426">
      <w:pPr>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To mitigate transfer pricing risks, MNCs should adopt proactive strategies, which includes;</w:t>
      </w:r>
    </w:p>
    <w:p w:rsidR="00EC6426" w:rsidRPr="00ED00B0" w:rsidRDefault="00EC6426" w:rsidP="00EC6426">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Conducting a Transfer Pricing Risk Assessment: MNCs should asses the transfer pricing risks associated with their operations, identify potential issues and develop risk management strategies accordingly. This involves analyzing the functions, assets and risks involved in intercompany transactions.</w:t>
      </w:r>
    </w:p>
    <w:p w:rsidR="00EC6426" w:rsidRPr="00ED00B0" w:rsidRDefault="00EC6426" w:rsidP="00EC6426">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 xml:space="preserve">Documentation and Compliance: MNCs must maintain comprehensive and contemporaneous transfer pricing documentation, including functional analysis, economic </w:t>
      </w:r>
      <w:r w:rsidRPr="00ED00B0">
        <w:rPr>
          <w:rFonts w:ascii="Times New Roman" w:hAnsi="Times New Roman" w:cs="Times New Roman"/>
          <w:sz w:val="24"/>
          <w:szCs w:val="24"/>
        </w:rPr>
        <w:lastRenderedPageBreak/>
        <w:t>analysis and benchmarking studies. This documentation demonstrates compliance with transfer pricing regulations and serves as evidence to support pricing decisions.</w:t>
      </w:r>
    </w:p>
    <w:p w:rsidR="00EC6426" w:rsidRPr="00ED00B0" w:rsidRDefault="00EC6426" w:rsidP="00EC6426">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Advance Pricing Agreements (APAs): APAs provide certainty to taxpayers by allowing them to proactively agree with tax authorities on an appropriate transfer pricing methodology and pricing for a specific period. APAs reduce uncertainty, minimize disputes and provide a mechanism to manage transfer pricing risks efficiently.</w:t>
      </w:r>
    </w:p>
    <w:p w:rsidR="00EC6426" w:rsidRPr="00ED00B0" w:rsidRDefault="00EC6426" w:rsidP="00EC6426">
      <w:pPr>
        <w:pStyle w:val="ListParagraph"/>
        <w:numPr>
          <w:ilvl w:val="0"/>
          <w:numId w:val="4"/>
        </w:numPr>
        <w:tabs>
          <w:tab w:val="left" w:pos="2709"/>
          <w:tab w:val="left" w:pos="3394"/>
        </w:tabs>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Controversy Resolution and Dispute Avoidance: MNCs should be prepared for transfer pricing audits and potential disputes with tax authorities. Having a clear understanding of dispute resolution mechanisms, such as mutual agreement procedures and competent authority negotiations can help resolve conflicts efficiently and minimize double taxation.</w:t>
      </w:r>
    </w:p>
    <w:p w:rsidR="00EC6426" w:rsidRPr="00ED00B0" w:rsidRDefault="00EC6426" w:rsidP="00EC6426">
      <w:pPr>
        <w:pStyle w:val="ListParagraph"/>
        <w:numPr>
          <w:ilvl w:val="0"/>
          <w:numId w:val="4"/>
        </w:numPr>
        <w:tabs>
          <w:tab w:val="left" w:pos="2709"/>
          <w:tab w:val="left" w:pos="3394"/>
        </w:tabs>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 xml:space="preserve">Stay updated with Regulatory Changes: MNCs should stay informed about evolving transfer pricing regulations, including OECD Guidelines and Domestic Laws and engage with transfer pricing professionals and seeking expert advice on </w:t>
      </w:r>
      <w:bookmarkStart w:id="0" w:name="_GoBack"/>
      <w:bookmarkEnd w:id="0"/>
      <w:r w:rsidRPr="00ED00B0">
        <w:rPr>
          <w:rFonts w:ascii="Times New Roman" w:hAnsi="Times New Roman" w:cs="Times New Roman"/>
          <w:sz w:val="24"/>
          <w:szCs w:val="24"/>
        </w:rPr>
        <w:t>compliance with changing regulations and best practices.</w:t>
      </w:r>
    </w:p>
    <w:p w:rsidR="00EC6426" w:rsidRPr="00ED00B0" w:rsidRDefault="00EC6426" w:rsidP="00EC6426">
      <w:pPr>
        <w:pStyle w:val="ListParagraph"/>
        <w:numPr>
          <w:ilvl w:val="0"/>
          <w:numId w:val="4"/>
        </w:numPr>
        <w:tabs>
          <w:tab w:val="left" w:pos="2709"/>
          <w:tab w:val="left" w:pos="3394"/>
        </w:tabs>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Maintain a Cooperative Approach: an open and transparent communication should be maintained with tax authorities and proactively engaging in discussions while providing timely and accurate information during transfer pricing audits or disputes. Also cooperating with tax authorities can help build trust and facilitate smoother resolution of any transfer pricing related issues.</w:t>
      </w:r>
    </w:p>
    <w:p w:rsidR="00EC6426" w:rsidRPr="00840815" w:rsidRDefault="00EC6426" w:rsidP="00EC6426">
      <w:pPr>
        <w:pStyle w:val="ListParagraph"/>
        <w:numPr>
          <w:ilvl w:val="0"/>
          <w:numId w:val="4"/>
        </w:numPr>
        <w:tabs>
          <w:tab w:val="left" w:pos="2709"/>
          <w:tab w:val="left" w:pos="3394"/>
        </w:tabs>
        <w:autoSpaceDE w:val="0"/>
        <w:autoSpaceDN w:val="0"/>
        <w:adjustRightInd w:val="0"/>
        <w:spacing w:after="0" w:line="360" w:lineRule="auto"/>
        <w:jc w:val="both"/>
        <w:rPr>
          <w:rFonts w:ascii="Times New Roman" w:hAnsi="Times New Roman" w:cs="Times New Roman"/>
          <w:sz w:val="24"/>
          <w:szCs w:val="24"/>
        </w:rPr>
      </w:pPr>
      <w:r w:rsidRPr="00ED00B0">
        <w:rPr>
          <w:rFonts w:ascii="Times New Roman" w:hAnsi="Times New Roman" w:cs="Times New Roman"/>
          <w:sz w:val="24"/>
          <w:szCs w:val="24"/>
        </w:rPr>
        <w:t>Develop Robust Transfer Pricing Policies: MNCs should establish clear and comprehensive transfer pricing policies that align with applicable regulations and guidelines. These policies should address the determination of transfer prices, selection of appropriate transfer pricing methods and documentation requirements.</w:t>
      </w:r>
    </w:p>
    <w:p w:rsidR="00EC6426" w:rsidRPr="008E1092" w:rsidRDefault="008B3C6D" w:rsidP="00EC6426">
      <w:pPr>
        <w:tabs>
          <w:tab w:val="left" w:pos="2709"/>
          <w:tab w:val="left" w:pos="3394"/>
        </w:tabs>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1.6</w:t>
      </w:r>
      <w:r w:rsidR="00AB29CF">
        <w:rPr>
          <w:rFonts w:ascii="Times New Roman" w:hAnsi="Times New Roman" w:cs="Times New Roman"/>
          <w:b/>
          <w:sz w:val="24"/>
          <w:szCs w:val="24"/>
        </w:rPr>
        <w:t xml:space="preserve"> CONCLUSION</w:t>
      </w:r>
    </w:p>
    <w:p w:rsidR="00021144" w:rsidRDefault="00EC6426" w:rsidP="00EC642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In conclusion,</w:t>
      </w:r>
      <w:r w:rsidR="00021144">
        <w:rPr>
          <w:rFonts w:ascii="Times New Roman" w:hAnsi="Times New Roman" w:cs="Times New Roman"/>
          <w:sz w:val="24"/>
          <w:szCs w:val="24"/>
        </w:rPr>
        <w:t xml:space="preserve"> this paper has delved into the intricate realm of transfer pricing regulations and the pivotal role of the arm’s length principle in ensuring equitable taxation within the context of MNEs. Key findings and recommendations have emerged shedding light on the dynamic landscape of transfer pricing and its implications.</w:t>
      </w:r>
    </w:p>
    <w:p w:rsidR="00021144" w:rsidRDefault="00021144" w:rsidP="00EC6426">
      <w:pPr>
        <w:autoSpaceDE w:val="0"/>
        <w:autoSpaceDN w:val="0"/>
        <w:adjustRightInd w:val="0"/>
        <w:spacing w:after="0" w:line="360" w:lineRule="auto"/>
        <w:jc w:val="both"/>
        <w:rPr>
          <w:rFonts w:ascii="Times New Roman" w:hAnsi="Times New Roman" w:cs="Times New Roman"/>
          <w:sz w:val="24"/>
          <w:szCs w:val="24"/>
        </w:rPr>
      </w:pPr>
      <w:r w:rsidRPr="003A718D">
        <w:rPr>
          <w:rFonts w:ascii="Times New Roman" w:hAnsi="Times New Roman" w:cs="Times New Roman"/>
          <w:i/>
          <w:sz w:val="24"/>
          <w:szCs w:val="24"/>
        </w:rPr>
        <w:t>Findings:</w:t>
      </w:r>
      <w:r>
        <w:rPr>
          <w:rFonts w:ascii="Times New Roman" w:hAnsi="Times New Roman" w:cs="Times New Roman"/>
          <w:sz w:val="24"/>
          <w:szCs w:val="24"/>
        </w:rPr>
        <w:t xml:space="preserve"> The arm’s length principle stands as a corner stone in international taxation, seeking to replicate the outcomes of transactions between unrelated parties. It has emerged as a vital safeguard against profit shifting and unjust tax practices.</w:t>
      </w:r>
      <w:r w:rsidR="00FD16E0">
        <w:rPr>
          <w:rFonts w:ascii="Times New Roman" w:hAnsi="Times New Roman" w:cs="Times New Roman"/>
          <w:sz w:val="24"/>
          <w:szCs w:val="24"/>
        </w:rPr>
        <w:t xml:space="preserve"> The need for comprehensive </w:t>
      </w:r>
      <w:r w:rsidR="003A718D">
        <w:rPr>
          <w:rFonts w:ascii="Times New Roman" w:hAnsi="Times New Roman" w:cs="Times New Roman"/>
          <w:sz w:val="24"/>
          <w:szCs w:val="24"/>
        </w:rPr>
        <w:lastRenderedPageBreak/>
        <w:t>documentations</w:t>
      </w:r>
      <w:r w:rsidR="00FD16E0">
        <w:rPr>
          <w:rFonts w:ascii="Times New Roman" w:hAnsi="Times New Roman" w:cs="Times New Roman"/>
          <w:sz w:val="24"/>
          <w:szCs w:val="24"/>
        </w:rPr>
        <w:t xml:space="preserve"> is crucial to substantiate the arm’s length nature of transactions. It not only demonstrates compliance but also serves as a proactive defense during tax audits, reducing the risk of penalties and adjustments.</w:t>
      </w:r>
      <w:r w:rsidR="003A718D">
        <w:rPr>
          <w:rFonts w:ascii="Times New Roman" w:hAnsi="Times New Roman" w:cs="Times New Roman"/>
          <w:sz w:val="24"/>
          <w:szCs w:val="24"/>
        </w:rPr>
        <w:t xml:space="preserve"> Given the intricacies involved, transfer pricing disputes are inevitable, establishing Advance Pricing Agreement (APAs) with tax authorities can provide a predetermined framework, mitigating the potential for conflicts and fostering an environment of certainty.</w:t>
      </w:r>
    </w:p>
    <w:p w:rsidR="00EC6426" w:rsidRDefault="00835D43" w:rsidP="00EC642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i/>
          <w:sz w:val="24"/>
          <w:szCs w:val="24"/>
        </w:rPr>
        <w:t>Recommendation</w:t>
      </w:r>
      <w:r w:rsidR="004305FF" w:rsidRPr="004305FF">
        <w:rPr>
          <w:rFonts w:ascii="Times New Roman" w:hAnsi="Times New Roman" w:cs="Times New Roman"/>
          <w:i/>
          <w:sz w:val="24"/>
          <w:szCs w:val="24"/>
        </w:rPr>
        <w:t>:</w:t>
      </w:r>
      <w:r w:rsidR="004305FF">
        <w:rPr>
          <w:rFonts w:ascii="Times New Roman" w:hAnsi="Times New Roman" w:cs="Times New Roman"/>
          <w:sz w:val="24"/>
          <w:szCs w:val="24"/>
        </w:rPr>
        <w:t xml:space="preserve"> The</w:t>
      </w:r>
      <w:r w:rsidR="00EC6426">
        <w:rPr>
          <w:rFonts w:ascii="Times New Roman" w:hAnsi="Times New Roman" w:cs="Times New Roman"/>
          <w:sz w:val="24"/>
          <w:szCs w:val="24"/>
        </w:rPr>
        <w:t xml:space="preserve"> complexity of transfer pricing rules, coupled with intensified scrutiny from tax authorities, necessitates a proactive and strategic approach to managing transfer pricing risks. MNE’s must first understand and analyze the transfer pricing regulations in the jurisdictions where they operate. This involves staying up-to-date with local regulations, documentation requirements and the arm’s length principle. By proactively monitoring changes in transfer pricing regulations, businesses can identify potential compliance gaps and take corrective actions in a timely manner.   Collaboration and communication between tax teams, finance departments and operational units are essential for successfully navigating transfer pricing regulations, by fostering an environment of transparency and knowledge sharing, businesses can ensure a coordinated and consistent approach to transfer pricing compliance.</w:t>
      </w:r>
    </w:p>
    <w:p w:rsidR="00EC6426" w:rsidRPr="008E1092" w:rsidRDefault="00EC6426" w:rsidP="00EC642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Regular training and awareness programs can also equip employees with the necessary understanding of transfer pricing regulations and their implications. Ultimately, a strategic and compliant approach to transfer pricing can contribute to the long-term success and sustainability of MNE’s.</w:t>
      </w:r>
    </w:p>
    <w:p w:rsidR="00EC6426" w:rsidRPr="008E1092" w:rsidRDefault="00EC6426" w:rsidP="00EC6426">
      <w:pPr>
        <w:autoSpaceDE w:val="0"/>
        <w:autoSpaceDN w:val="0"/>
        <w:adjustRightInd w:val="0"/>
        <w:spacing w:after="0" w:line="360" w:lineRule="auto"/>
        <w:jc w:val="both"/>
        <w:rPr>
          <w:rFonts w:ascii="Times New Roman" w:hAnsi="Times New Roman" w:cs="Times New Roman"/>
          <w:sz w:val="24"/>
          <w:szCs w:val="24"/>
        </w:rPr>
      </w:pPr>
    </w:p>
    <w:p w:rsidR="00EC6426" w:rsidRDefault="00EC6426" w:rsidP="00EC6426">
      <w:pPr>
        <w:autoSpaceDE w:val="0"/>
        <w:autoSpaceDN w:val="0"/>
        <w:adjustRightInd w:val="0"/>
        <w:spacing w:after="0" w:line="480" w:lineRule="auto"/>
        <w:jc w:val="both"/>
        <w:rPr>
          <w:rFonts w:ascii="TimesNewRoman" w:hAnsi="TimesNewRoman" w:cs="TimesNewRoman"/>
        </w:rPr>
      </w:pPr>
    </w:p>
    <w:p w:rsidR="00EC6426" w:rsidRPr="008E1092" w:rsidRDefault="00EC6426" w:rsidP="00EC6426">
      <w:pPr>
        <w:tabs>
          <w:tab w:val="left" w:pos="2211"/>
        </w:tabs>
        <w:autoSpaceDE w:val="0"/>
        <w:autoSpaceDN w:val="0"/>
        <w:adjustRightInd w:val="0"/>
        <w:spacing w:after="0" w:line="480" w:lineRule="auto"/>
        <w:jc w:val="both"/>
        <w:rPr>
          <w:rStyle w:val="HTMLCite"/>
          <w:rFonts w:ascii="Times New Roman" w:hAnsi="Times New Roman" w:cs="Times New Roman"/>
          <w:b/>
          <w:bCs/>
          <w:color w:val="000000"/>
          <w:sz w:val="24"/>
          <w:szCs w:val="24"/>
        </w:rPr>
      </w:pPr>
    </w:p>
    <w:p w:rsidR="00EC6426" w:rsidRPr="00E52941" w:rsidRDefault="00EC6426" w:rsidP="00EC6426">
      <w:pPr>
        <w:tabs>
          <w:tab w:val="left" w:pos="2211"/>
        </w:tabs>
        <w:autoSpaceDE w:val="0"/>
        <w:autoSpaceDN w:val="0"/>
        <w:adjustRightInd w:val="0"/>
        <w:spacing w:after="0" w:line="480" w:lineRule="auto"/>
        <w:jc w:val="both"/>
        <w:rPr>
          <w:rStyle w:val="HTMLCite"/>
          <w:rFonts w:ascii="Times New Roman" w:hAnsi="Times New Roman" w:cs="Times New Roman"/>
          <w:sz w:val="24"/>
          <w:szCs w:val="24"/>
        </w:rPr>
      </w:pPr>
    </w:p>
    <w:p w:rsidR="00EC6426" w:rsidRPr="00E52941" w:rsidRDefault="00EC6426" w:rsidP="00EC6426">
      <w:pPr>
        <w:tabs>
          <w:tab w:val="left" w:pos="2211"/>
        </w:tabs>
        <w:autoSpaceDE w:val="0"/>
        <w:autoSpaceDN w:val="0"/>
        <w:adjustRightInd w:val="0"/>
        <w:spacing w:after="0" w:line="480" w:lineRule="auto"/>
        <w:jc w:val="both"/>
        <w:rPr>
          <w:rStyle w:val="HTMLCite"/>
          <w:rFonts w:ascii="Times New Roman" w:hAnsi="Times New Roman" w:cs="Times New Roman"/>
          <w:sz w:val="24"/>
          <w:szCs w:val="24"/>
        </w:rPr>
      </w:pPr>
      <w:r>
        <w:t>.</w:t>
      </w:r>
    </w:p>
    <w:p w:rsidR="00EC6426" w:rsidRDefault="00EC6426" w:rsidP="00EC6426">
      <w:pPr>
        <w:spacing w:line="480" w:lineRule="auto"/>
        <w:jc w:val="both"/>
        <w:rPr>
          <w:rFonts w:ascii="Times New Roman" w:hAnsi="Times New Roman" w:cs="Times New Roman"/>
          <w:sz w:val="24"/>
          <w:szCs w:val="24"/>
        </w:rPr>
      </w:pPr>
    </w:p>
    <w:p w:rsidR="00EC6426" w:rsidRDefault="00EC6426" w:rsidP="00EC6426">
      <w:pPr>
        <w:spacing w:line="480" w:lineRule="auto"/>
        <w:jc w:val="both"/>
        <w:rPr>
          <w:rFonts w:ascii="Times New Roman" w:hAnsi="Times New Roman" w:cs="Times New Roman"/>
          <w:sz w:val="24"/>
          <w:szCs w:val="24"/>
        </w:rPr>
      </w:pPr>
    </w:p>
    <w:p w:rsidR="00EC6426" w:rsidRDefault="00EC6426" w:rsidP="00EC6426"/>
    <w:p w:rsidR="00E237AB" w:rsidRDefault="00E237AB"/>
    <w:sectPr w:rsidR="00E237A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F9F" w:rsidRDefault="00013F9F" w:rsidP="00EC6426">
      <w:pPr>
        <w:spacing w:after="0" w:line="240" w:lineRule="auto"/>
      </w:pPr>
      <w:r>
        <w:separator/>
      </w:r>
    </w:p>
  </w:endnote>
  <w:endnote w:type="continuationSeparator" w:id="0">
    <w:p w:rsidR="00013F9F" w:rsidRDefault="00013F9F" w:rsidP="00EC6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422416"/>
      <w:docPartObj>
        <w:docPartGallery w:val="Page Numbers (Bottom of Page)"/>
        <w:docPartUnique/>
      </w:docPartObj>
    </w:sdtPr>
    <w:sdtEndPr>
      <w:rPr>
        <w:noProof/>
      </w:rPr>
    </w:sdtEndPr>
    <w:sdtContent>
      <w:p w:rsidR="00DD3A1C" w:rsidRDefault="00A530FA">
        <w:pPr>
          <w:pStyle w:val="Footer"/>
          <w:jc w:val="center"/>
        </w:pPr>
        <w:r>
          <w:fldChar w:fldCharType="begin"/>
        </w:r>
        <w:r>
          <w:instrText xml:space="preserve"> PAGE   \* MERGEFORMAT </w:instrText>
        </w:r>
        <w:r>
          <w:fldChar w:fldCharType="separate"/>
        </w:r>
        <w:r w:rsidR="00A70F90">
          <w:rPr>
            <w:noProof/>
          </w:rPr>
          <w:t>13</w:t>
        </w:r>
        <w:r>
          <w:rPr>
            <w:noProof/>
          </w:rPr>
          <w:fldChar w:fldCharType="end"/>
        </w:r>
      </w:p>
    </w:sdtContent>
  </w:sdt>
  <w:p w:rsidR="00DD3A1C" w:rsidRDefault="00013F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F9F" w:rsidRDefault="00013F9F" w:rsidP="00EC6426">
      <w:pPr>
        <w:spacing w:after="0" w:line="240" w:lineRule="auto"/>
      </w:pPr>
      <w:r>
        <w:separator/>
      </w:r>
    </w:p>
  </w:footnote>
  <w:footnote w:type="continuationSeparator" w:id="0">
    <w:p w:rsidR="00013F9F" w:rsidRDefault="00013F9F" w:rsidP="00EC6426">
      <w:pPr>
        <w:spacing w:after="0" w:line="240" w:lineRule="auto"/>
      </w:pPr>
      <w:r>
        <w:continuationSeparator/>
      </w:r>
    </w:p>
  </w:footnote>
  <w:footnote w:id="1">
    <w:p w:rsidR="00EC6426" w:rsidRDefault="009B5773" w:rsidP="00EC6426">
      <w:pPr>
        <w:pStyle w:val="FootnoteText"/>
      </w:pPr>
      <w:r>
        <w:t xml:space="preserve">*Kuzhe </w:t>
      </w:r>
      <w:proofErr w:type="spellStart"/>
      <w:r>
        <w:t>Ashezi</w:t>
      </w:r>
      <w:proofErr w:type="spellEnd"/>
      <w:r>
        <w:t xml:space="preserve"> </w:t>
      </w:r>
      <w:proofErr w:type="spellStart"/>
      <w:r>
        <w:t>Dorcas</w:t>
      </w:r>
      <w:proofErr w:type="spellEnd"/>
      <w:r>
        <w:t xml:space="preserve"> </w:t>
      </w:r>
      <w:r w:rsidR="00EC6426">
        <w:t xml:space="preserve"> is a lecturer in the Faculty of Law, Bingham University, </w:t>
      </w:r>
      <w:proofErr w:type="spellStart"/>
      <w:r w:rsidR="00EC6426">
        <w:t>Karu</w:t>
      </w:r>
      <w:proofErr w:type="spellEnd"/>
      <w:r w:rsidR="00EC6426">
        <w:t xml:space="preserve"> (along </w:t>
      </w:r>
      <w:proofErr w:type="spellStart"/>
      <w:r w:rsidR="00EC6426">
        <w:t>Keffi</w:t>
      </w:r>
      <w:proofErr w:type="spellEnd"/>
      <w:r w:rsidR="00EC6426">
        <w:t xml:space="preserve">-Abuja Express Way), </w:t>
      </w:r>
      <w:proofErr w:type="spellStart"/>
      <w:r w:rsidR="00EC6426">
        <w:t>Nasarawa</w:t>
      </w:r>
      <w:proofErr w:type="spellEnd"/>
      <w:r w:rsidR="00EC6426">
        <w:t xml:space="preserve"> State, Nigeria  Tel. +2347038933824, email -  kuzhedorcas@yahoo.com</w:t>
      </w:r>
    </w:p>
    <w:p w:rsidR="00EC6426" w:rsidRDefault="00EC6426" w:rsidP="00EC6426">
      <w:pPr>
        <w:pStyle w:val="FootnoteText"/>
      </w:pPr>
      <w:r>
        <w:rPr>
          <w:rStyle w:val="FootnoteReference"/>
        </w:rPr>
        <w:footnoteRef/>
      </w:r>
      <w:r>
        <w:t xml:space="preserve"> </w:t>
      </w:r>
      <w:proofErr w:type="spellStart"/>
      <w:r>
        <w:t>Shobhit</w:t>
      </w:r>
      <w:proofErr w:type="spellEnd"/>
      <w:r>
        <w:t xml:space="preserve"> </w:t>
      </w:r>
      <w:proofErr w:type="spellStart"/>
      <w:r>
        <w:t>Seth.,’Transfer</w:t>
      </w:r>
      <w:proofErr w:type="spellEnd"/>
      <w:r>
        <w:t xml:space="preserve"> Pricing: What it is a</w:t>
      </w:r>
      <w:r w:rsidR="00F322CE">
        <w:t xml:space="preserve">nd </w:t>
      </w:r>
      <w:proofErr w:type="gramStart"/>
      <w:r w:rsidR="00F322CE">
        <w:t>How</w:t>
      </w:r>
      <w:proofErr w:type="gramEnd"/>
      <w:r w:rsidR="00F322CE">
        <w:t xml:space="preserve"> it Works with Examples’. </w:t>
      </w:r>
      <w:hyperlink r:id="rId1" w:history="1">
        <w:r w:rsidR="00F322CE" w:rsidRPr="002352CA">
          <w:rPr>
            <w:rStyle w:val="Hyperlink"/>
          </w:rPr>
          <w:t>https://www.investopedia.comterms</w:t>
        </w:r>
      </w:hyperlink>
      <w:r w:rsidR="00F322CE">
        <w:t>&gt; accessed 5 May 2023</w:t>
      </w:r>
      <w:r>
        <w:t xml:space="preserve">  </w:t>
      </w:r>
    </w:p>
  </w:footnote>
  <w:footnote w:id="2">
    <w:p w:rsidR="00EC6426" w:rsidRDefault="00EC6426" w:rsidP="00EC6426">
      <w:pPr>
        <w:pStyle w:val="FootnoteText"/>
      </w:pPr>
      <w:r>
        <w:rPr>
          <w:rStyle w:val="FootnoteReference"/>
        </w:rPr>
        <w:footnoteRef/>
      </w:r>
      <w:r w:rsidR="009B5773">
        <w:t xml:space="preserve"> O Augustine and O E Alani</w:t>
      </w:r>
      <w:r>
        <w:t xml:space="preserve">, ‘The Impact of Taxation on Transfer Pricing in Nigeria Economy’ </w:t>
      </w:r>
      <w:r w:rsidRPr="009B5773">
        <w:rPr>
          <w:i/>
        </w:rPr>
        <w:t>International</w:t>
      </w:r>
      <w:r>
        <w:t xml:space="preserve"> </w:t>
      </w:r>
      <w:r w:rsidRPr="009B5773">
        <w:rPr>
          <w:i/>
        </w:rPr>
        <w:t>Research Journal of Finance and Economics</w:t>
      </w:r>
      <w:r>
        <w:t xml:space="preserve"> (2020) </w:t>
      </w:r>
      <w:proofErr w:type="spellStart"/>
      <w:r>
        <w:t>Iss</w:t>
      </w:r>
      <w:proofErr w:type="spellEnd"/>
      <w:r>
        <w:t xml:space="preserve">. 177.  </w:t>
      </w:r>
      <w:r w:rsidR="009B5773">
        <w:t>&lt;</w:t>
      </w:r>
      <w:hyperlink r:id="rId2" w:history="1">
        <w:r w:rsidRPr="0088405E">
          <w:rPr>
            <w:rStyle w:val="Hyperlink"/>
          </w:rPr>
          <w:t>https://www.internationalresearchjournaloffinanceandeconomics.com</w:t>
        </w:r>
      </w:hyperlink>
      <w:r>
        <w:t xml:space="preserve">. </w:t>
      </w:r>
      <w:r w:rsidR="00F322CE">
        <w:t>&gt; accessed 3 May 2023</w:t>
      </w:r>
      <w:r>
        <w:t xml:space="preserve"> </w:t>
      </w:r>
    </w:p>
  </w:footnote>
  <w:footnote w:id="3">
    <w:p w:rsidR="009D68E5" w:rsidRDefault="009D68E5">
      <w:pPr>
        <w:pStyle w:val="FootnoteText"/>
      </w:pPr>
      <w:r>
        <w:rPr>
          <w:rStyle w:val="FootnoteReference"/>
        </w:rPr>
        <w:footnoteRef/>
      </w:r>
      <w:r>
        <w:t xml:space="preserve"> Corporate Finance Institute, ‘Learn How Companies Use Transfer Pricing’ &lt;</w:t>
      </w:r>
      <w:hyperlink r:id="rId3" w:history="1">
        <w:r w:rsidRPr="002352CA">
          <w:rPr>
            <w:rStyle w:val="Hyperlink"/>
          </w:rPr>
          <w:t>https://corporatefinanceinstitute.com</w:t>
        </w:r>
      </w:hyperlink>
      <w:r>
        <w:t>&gt; accessed 5 May 2023</w:t>
      </w:r>
    </w:p>
  </w:footnote>
  <w:footnote w:id="4">
    <w:p w:rsidR="00AC6427" w:rsidRDefault="00AC6427">
      <w:pPr>
        <w:pStyle w:val="FootnoteText"/>
      </w:pPr>
      <w:r>
        <w:rPr>
          <w:rStyle w:val="FootnoteReference"/>
        </w:rPr>
        <w:footnoteRef/>
      </w:r>
      <w:r>
        <w:t xml:space="preserve"> United Nations</w:t>
      </w:r>
      <w:r w:rsidR="00055C33">
        <w:t>, ‘An Introduction to Transfer Pricing’ &lt;</w:t>
      </w:r>
      <w:hyperlink r:id="rId4" w:history="1">
        <w:r w:rsidR="00055C33" w:rsidRPr="002352CA">
          <w:rPr>
            <w:rStyle w:val="Hyperlink"/>
          </w:rPr>
          <w:t>https://www.un.org2011/06</w:t>
        </w:r>
      </w:hyperlink>
      <w:r w:rsidR="00055C33">
        <w:t xml:space="preserve"> &gt; accessed 20 May 2023</w:t>
      </w:r>
    </w:p>
  </w:footnote>
  <w:footnote w:id="5">
    <w:p w:rsidR="00EC6426" w:rsidRDefault="00EC6426" w:rsidP="00EC6426">
      <w:pPr>
        <w:pStyle w:val="FootnoteText"/>
      </w:pPr>
      <w:r>
        <w:rPr>
          <w:rStyle w:val="FootnoteReference"/>
        </w:rPr>
        <w:footnoteRef/>
      </w:r>
      <w:r>
        <w:t xml:space="preserve"> </w:t>
      </w:r>
      <w:hyperlink w:history="1">
        <w:r>
          <w:rPr>
            <w:rStyle w:val="Hyperlink"/>
          </w:rPr>
          <w:t>www.businessdictionary.com&gt;definition</w:t>
        </w:r>
      </w:hyperlink>
    </w:p>
  </w:footnote>
  <w:footnote w:id="6">
    <w:p w:rsidR="00EC6426" w:rsidRDefault="00EC6426" w:rsidP="00EC6426">
      <w:pPr>
        <w:pStyle w:val="FootnoteText"/>
      </w:pPr>
      <w:r>
        <w:rPr>
          <w:rStyle w:val="FootnoteReference"/>
        </w:rPr>
        <w:footnoteRef/>
      </w:r>
      <w:r>
        <w:t xml:space="preserve"> Global Financial </w:t>
      </w:r>
      <w:proofErr w:type="spellStart"/>
      <w:r>
        <w:t>Intergrity</w:t>
      </w:r>
      <w:proofErr w:type="spellEnd"/>
      <w:r>
        <w:t xml:space="preserve"> in Washington estimates the amount at several hundred billion dollars annually, also a March 2009 Christian Aid report estimated $1.1 trillion in bilateral trade mispricing into the EU and the US alone from non- EU countries from 2005- 2007.  </w:t>
      </w:r>
      <w:r w:rsidR="00FF014B">
        <w:t>&lt;</w:t>
      </w:r>
      <w:hyperlink w:history="1">
        <w:r>
          <w:rPr>
            <w:rStyle w:val="Hyperlink"/>
          </w:rPr>
          <w:t>www.taxjustice.net&gt;topics&gt;corporate-tax</w:t>
        </w:r>
      </w:hyperlink>
      <w:r>
        <w:t>.</w:t>
      </w:r>
      <w:r w:rsidR="00FF014B">
        <w:t>&gt; accessed 15 May 2023</w:t>
      </w:r>
    </w:p>
  </w:footnote>
  <w:footnote w:id="7">
    <w:p w:rsidR="00651EC6" w:rsidRDefault="00651EC6" w:rsidP="00651EC6">
      <w:pPr>
        <w:pStyle w:val="FootnoteText"/>
      </w:pPr>
      <w:r>
        <w:rPr>
          <w:rStyle w:val="FootnoteReference"/>
        </w:rPr>
        <w:footnoteRef/>
      </w:r>
      <w:r w:rsidR="00FF014B">
        <w:t xml:space="preserve"> </w:t>
      </w:r>
      <w:proofErr w:type="spellStart"/>
      <w:proofErr w:type="gramStart"/>
      <w:r w:rsidR="00FF014B">
        <w:t>Aderonke</w:t>
      </w:r>
      <w:proofErr w:type="spellEnd"/>
      <w:r w:rsidR="00FF014B">
        <w:t xml:space="preserve">  Alex</w:t>
      </w:r>
      <w:proofErr w:type="gramEnd"/>
      <w:r w:rsidR="00FF014B">
        <w:t>-</w:t>
      </w:r>
      <w:proofErr w:type="spellStart"/>
      <w:r w:rsidR="00FF014B">
        <w:t>Adedipe</w:t>
      </w:r>
      <w:proofErr w:type="spellEnd"/>
      <w:r w:rsidR="00FF014B">
        <w:t xml:space="preserve"> and</w:t>
      </w:r>
      <w:r>
        <w:t xml:space="preserve"> </w:t>
      </w:r>
      <w:r w:rsidR="00FF014B">
        <w:t xml:space="preserve"> A Praise</w:t>
      </w:r>
      <w:r>
        <w:t xml:space="preserve">, ‘The Arm’s Length Principle and its Implication on Taxation in Nigeria’. </w:t>
      </w:r>
      <w:r w:rsidR="00FF014B">
        <w:t>&lt;</w:t>
      </w:r>
      <w:hyperlink w:history="1">
        <w:r w:rsidRPr="0088405E">
          <w:rPr>
            <w:rStyle w:val="Hyperlink"/>
          </w:rPr>
          <w:t>https://www.mondaq.com&gt;nigeria</w:t>
        </w:r>
      </w:hyperlink>
      <w:r>
        <w:t>.</w:t>
      </w:r>
      <w:r w:rsidR="00FF014B">
        <w:t>&gt; accessed 15 May 2023</w:t>
      </w:r>
      <w:r>
        <w:t xml:space="preserve"> </w:t>
      </w:r>
    </w:p>
  </w:footnote>
  <w:footnote w:id="8">
    <w:p w:rsidR="00612FEE" w:rsidRDefault="00612FEE">
      <w:pPr>
        <w:pStyle w:val="FootnoteText"/>
      </w:pPr>
      <w:r>
        <w:rPr>
          <w:rStyle w:val="FootnoteReference"/>
        </w:rPr>
        <w:footnoteRef/>
      </w:r>
      <w:r w:rsidR="009D3D34">
        <w:t xml:space="preserve"> Royalty Range, </w:t>
      </w:r>
      <w:r>
        <w:t xml:space="preserve"> </w:t>
      </w:r>
      <w:r w:rsidR="009D3D34">
        <w:t>‘</w:t>
      </w:r>
      <w:r>
        <w:t>What is an arm’s length transaction in transfer pricing?</w:t>
      </w:r>
      <w:r w:rsidR="009D3D34">
        <w:t>&lt;</w:t>
      </w:r>
      <w:r>
        <w:t xml:space="preserve"> </w:t>
      </w:r>
      <w:hyperlink w:history="1">
        <w:r w:rsidRPr="006752C3">
          <w:rPr>
            <w:rStyle w:val="Hyperlink"/>
          </w:rPr>
          <w:t>https://www.royaltyrange.com&gt;blog</w:t>
        </w:r>
      </w:hyperlink>
      <w:r>
        <w:t xml:space="preserve"> </w:t>
      </w:r>
      <w:r w:rsidR="009D3D34">
        <w:t>&gt; accessed 15 May 2023</w:t>
      </w:r>
    </w:p>
  </w:footnote>
  <w:footnote w:id="9">
    <w:p w:rsidR="008B3C6D" w:rsidRDefault="008B3C6D">
      <w:pPr>
        <w:pStyle w:val="FootnoteText"/>
      </w:pPr>
      <w:r>
        <w:rPr>
          <w:rStyle w:val="FootnoteReference"/>
        </w:rPr>
        <w:footnoteRef/>
      </w:r>
      <w:r>
        <w:t xml:space="preserve"> </w:t>
      </w:r>
      <w:r w:rsidR="009D3D34">
        <w:t xml:space="preserve"> OECD, ‘</w:t>
      </w:r>
      <w:r>
        <w:t xml:space="preserve">The Arm’s Length </w:t>
      </w:r>
      <w:proofErr w:type="spellStart"/>
      <w:r>
        <w:t>Principle|OECD</w:t>
      </w:r>
      <w:proofErr w:type="spellEnd"/>
      <w:r>
        <w:t xml:space="preserve"> Transfer Pricing Guidelines</w:t>
      </w:r>
      <w:r w:rsidR="009D3D34">
        <w:t>’</w:t>
      </w:r>
      <w:r>
        <w:t>…</w:t>
      </w:r>
      <w:r w:rsidR="009D3D34">
        <w:t>&lt;</w:t>
      </w:r>
      <w:r>
        <w:t xml:space="preserve"> </w:t>
      </w:r>
      <w:hyperlink w:history="1">
        <w:r w:rsidRPr="006752C3">
          <w:rPr>
            <w:rStyle w:val="Hyperlink"/>
          </w:rPr>
          <w:t>https://www.oecd-ilibrary.org&gt;taxa</w:t>
        </w:r>
      </w:hyperlink>
      <w:r>
        <w:t>...</w:t>
      </w:r>
      <w:r w:rsidR="009D3D34">
        <w:t>&gt; accessed 14 May 2023</w:t>
      </w:r>
      <w:r>
        <w:t xml:space="preserve"> </w:t>
      </w:r>
    </w:p>
  </w:footnote>
  <w:footnote w:id="10">
    <w:p w:rsidR="00EC6426" w:rsidRPr="00337848" w:rsidRDefault="00EC6426" w:rsidP="00EC6426">
      <w:pPr>
        <w:pStyle w:val="FootnoteText"/>
      </w:pPr>
      <w:r>
        <w:rPr>
          <w:rStyle w:val="FootnoteReference"/>
        </w:rPr>
        <w:footnoteRef/>
      </w:r>
      <w:r w:rsidR="00CA282D">
        <w:t xml:space="preserve"> M John and O John, </w:t>
      </w:r>
      <w:r>
        <w:t xml:space="preserve"> ‘Transfer Pricing and its Effect on Financial Reporting’ </w:t>
      </w:r>
      <w:r w:rsidRPr="004F1732">
        <w:rPr>
          <w:i/>
        </w:rPr>
        <w:t>Journal of Accountancy</w:t>
      </w:r>
      <w:r>
        <w:rPr>
          <w:i/>
        </w:rPr>
        <w:t xml:space="preserve"> (2013)</w:t>
      </w:r>
      <w:r w:rsidR="003E592D">
        <w:rPr>
          <w:i/>
        </w:rPr>
        <w:t xml:space="preserve"> &lt;</w:t>
      </w:r>
      <w:hyperlink r:id="rId5" w:history="1">
        <w:r w:rsidR="003E592D" w:rsidRPr="002352CA">
          <w:rPr>
            <w:rStyle w:val="Hyperlink"/>
          </w:rPr>
          <w:t>https://www.journalofaccountancy.com</w:t>
        </w:r>
      </w:hyperlink>
      <w:r w:rsidR="003E592D">
        <w:t>...&gt;accessed 17 May 2023</w:t>
      </w:r>
    </w:p>
  </w:footnote>
  <w:footnote w:id="11">
    <w:p w:rsidR="00EC6426" w:rsidRDefault="00EC6426" w:rsidP="00EC6426">
      <w:pPr>
        <w:pStyle w:val="FootnoteText"/>
      </w:pPr>
      <w:r>
        <w:rPr>
          <w:rStyle w:val="FootnoteReference"/>
        </w:rPr>
        <w:footnoteRef/>
      </w:r>
      <w:r>
        <w:t xml:space="preserve"> </w:t>
      </w:r>
      <w:r w:rsidR="00FF5BBA">
        <w:t xml:space="preserve"> G B Adeyeye, A L K Bale et al </w:t>
      </w:r>
      <w:r>
        <w:t xml:space="preserve"> ‘Transfer Pricing Regulations and Tax Compliance Among Nigerian Companies’ </w:t>
      </w:r>
      <w:r w:rsidRPr="00262509">
        <w:rPr>
          <w:i/>
        </w:rPr>
        <w:t>Global Journal of Accounting</w:t>
      </w:r>
      <w:r>
        <w:t xml:space="preserve">, (2022) 8(1), 46-61. </w:t>
      </w:r>
      <w:r w:rsidR="00FF5BBA">
        <w:t>&lt;</w:t>
      </w:r>
      <w:hyperlink r:id="rId6" w:history="1">
        <w:r w:rsidRPr="0088405E">
          <w:rPr>
            <w:rStyle w:val="Hyperlink"/>
          </w:rPr>
          <w:t>http://gja.unilag.edu.ng/article/view/1571</w:t>
        </w:r>
      </w:hyperlink>
      <w:r>
        <w:t xml:space="preserve">. </w:t>
      </w:r>
      <w:r w:rsidR="00FF5BBA">
        <w:t>&gt; accessed 20 May 2023</w:t>
      </w:r>
    </w:p>
  </w:footnote>
  <w:footnote w:id="12">
    <w:p w:rsidR="00EC6426" w:rsidRDefault="00EC6426" w:rsidP="00EC6426">
      <w:pPr>
        <w:pStyle w:val="FootnoteText"/>
      </w:pPr>
      <w:r>
        <w:rPr>
          <w:rStyle w:val="FootnoteReference"/>
        </w:rPr>
        <w:footnoteRef/>
      </w:r>
      <w:r>
        <w:t xml:space="preserve"> Published in 1995, represents a consensus among OECD Member countries, mostly developed countries.</w:t>
      </w:r>
    </w:p>
  </w:footnote>
  <w:footnote w:id="13">
    <w:p w:rsidR="00EC6426" w:rsidRDefault="00EC6426" w:rsidP="00EC6426">
      <w:pPr>
        <w:pStyle w:val="FootnoteText"/>
      </w:pPr>
      <w:r>
        <w:rPr>
          <w:rStyle w:val="FootnoteReference"/>
        </w:rPr>
        <w:footnoteRef/>
      </w:r>
      <w:r>
        <w:t xml:space="preserve"> The first 3 are referred to as the Traditional Transaction Methods while the last two are the Transactional Profit Methods.</w:t>
      </w:r>
    </w:p>
  </w:footnote>
  <w:footnote w:id="14">
    <w:p w:rsidR="00EC6426" w:rsidRPr="00410BD0" w:rsidRDefault="00EC6426" w:rsidP="00EC6426">
      <w:pPr>
        <w:pStyle w:val="FootnoteText"/>
      </w:pPr>
      <w:r>
        <w:rPr>
          <w:rStyle w:val="FootnoteReference"/>
        </w:rPr>
        <w:footnoteRef/>
      </w:r>
      <w:r>
        <w:t xml:space="preserve"> This latest edition consolidates into a single publication the changes to the 2017 edition of the Transfer Pricing </w:t>
      </w:r>
      <w:proofErr w:type="gramStart"/>
      <w:r>
        <w:t>Guidelines .</w:t>
      </w:r>
      <w:proofErr w:type="gramEnd"/>
      <w:r>
        <w:t xml:space="preserve"> OECD Releases Latest Edition of the Transfer Pricing Guidelines for Multinational Enterprises and Tax Admini</w:t>
      </w:r>
      <w:r w:rsidR="00BF2A41">
        <w:t>strations.</w:t>
      </w:r>
      <w:r>
        <w:t xml:space="preserve">  </w:t>
      </w:r>
    </w:p>
  </w:footnote>
  <w:footnote w:id="15">
    <w:p w:rsidR="00EC6426" w:rsidRPr="009C0B82" w:rsidRDefault="00EC6426" w:rsidP="00EC6426">
      <w:pPr>
        <w:pStyle w:val="FootnoteText"/>
      </w:pPr>
      <w:r>
        <w:rPr>
          <w:rStyle w:val="FootnoteReference"/>
        </w:rPr>
        <w:footnoteRef/>
      </w:r>
      <w:r>
        <w:t xml:space="preserve"> </w:t>
      </w:r>
      <w:r w:rsidR="00BF2A41">
        <w:t xml:space="preserve">T S </w:t>
      </w:r>
      <w:proofErr w:type="spellStart"/>
      <w:r w:rsidR="00BF2A41">
        <w:t>Doupnik</w:t>
      </w:r>
      <w:proofErr w:type="spellEnd"/>
      <w:r w:rsidR="00BF2A41">
        <w:t xml:space="preserve">, and H </w:t>
      </w:r>
      <w:proofErr w:type="spellStart"/>
      <w:r w:rsidR="00BF2A41">
        <w:t>Perera</w:t>
      </w:r>
      <w:proofErr w:type="spellEnd"/>
      <w:r>
        <w:t xml:space="preserve"> </w:t>
      </w:r>
      <w:r>
        <w:rPr>
          <w:i/>
        </w:rPr>
        <w:t xml:space="preserve">International </w:t>
      </w:r>
      <w:proofErr w:type="gramStart"/>
      <w:r>
        <w:rPr>
          <w:i/>
        </w:rPr>
        <w:t>Accounting</w:t>
      </w:r>
      <w:r w:rsidR="00BF2A41">
        <w:t xml:space="preserve">  </w:t>
      </w:r>
      <w:proofErr w:type="spellStart"/>
      <w:r w:rsidR="00BF2A41">
        <w:t>Mc</w:t>
      </w:r>
      <w:proofErr w:type="spellEnd"/>
      <w:proofErr w:type="gramEnd"/>
      <w:r w:rsidR="00BF2A41">
        <w:t xml:space="preserve"> </w:t>
      </w:r>
      <w:proofErr w:type="spellStart"/>
      <w:r w:rsidR="00BF2A41">
        <w:t>Graw</w:t>
      </w:r>
      <w:proofErr w:type="spellEnd"/>
      <w:r w:rsidR="00BF2A41">
        <w:t xml:space="preserve"> Hill Education(</w:t>
      </w:r>
      <w:r>
        <w:t>2</w:t>
      </w:r>
      <w:r w:rsidR="00620C32">
        <w:t xml:space="preserve">001) </w:t>
      </w:r>
      <w:r w:rsidR="00ED1852">
        <w:t>&lt;</w:t>
      </w:r>
      <w:hyperlink r:id="rId7" w:history="1">
        <w:r w:rsidR="00ED1852" w:rsidRPr="002352CA">
          <w:rPr>
            <w:rStyle w:val="Hyperlink"/>
          </w:rPr>
          <w:t>https://www.mheducation.com</w:t>
        </w:r>
      </w:hyperlink>
      <w:r w:rsidR="00ED1852">
        <w:t>int.. &gt; accessed 5 June 2023</w:t>
      </w:r>
    </w:p>
  </w:footnote>
  <w:footnote w:id="16">
    <w:p w:rsidR="00EC6426" w:rsidRDefault="00EC6426" w:rsidP="00EC6426">
      <w:pPr>
        <w:pStyle w:val="FootnoteText"/>
      </w:pPr>
      <w:r>
        <w:rPr>
          <w:rStyle w:val="FootnoteReference"/>
        </w:rPr>
        <w:footnoteRef/>
      </w:r>
      <w:r w:rsidR="0088494D">
        <w:t xml:space="preserve"> C  </w:t>
      </w:r>
      <w:proofErr w:type="spellStart"/>
      <w:r w:rsidR="0088494D">
        <w:t>Satapathy</w:t>
      </w:r>
      <w:proofErr w:type="spellEnd"/>
      <w:r w:rsidR="0088494D">
        <w:t>,</w:t>
      </w:r>
      <w:r>
        <w:t xml:space="preserve"> </w:t>
      </w:r>
      <w:r w:rsidRPr="0026428A">
        <w:rPr>
          <w:i/>
        </w:rPr>
        <w:t>‘</w:t>
      </w:r>
      <w:r w:rsidRPr="00BB5E69">
        <w:t>Transfer Pricing: Impact on Trade and Profit Taxation’</w:t>
      </w:r>
      <w:r>
        <w:t xml:space="preserve"> </w:t>
      </w:r>
      <w:r w:rsidRPr="0088494D">
        <w:rPr>
          <w:i/>
        </w:rPr>
        <w:t>JSTOR</w:t>
      </w:r>
      <w:r>
        <w:t xml:space="preserve"> (2001) 36 (20). </w:t>
      </w:r>
      <w:r w:rsidR="0088494D">
        <w:t>&lt;</w:t>
      </w:r>
      <w:hyperlink w:history="1">
        <w:r w:rsidRPr="0088405E">
          <w:rPr>
            <w:rStyle w:val="Hyperlink"/>
          </w:rPr>
          <w:t>https://www.jstor.org&gt;stable</w:t>
        </w:r>
      </w:hyperlink>
      <w:r>
        <w:t xml:space="preserve"> </w:t>
      </w:r>
      <w:r w:rsidR="0088494D">
        <w:t>&gt; accessed 4 June 2023</w:t>
      </w:r>
    </w:p>
  </w:footnote>
  <w:footnote w:id="17">
    <w:p w:rsidR="00EC6426" w:rsidRDefault="00EC6426" w:rsidP="00EC6426">
      <w:pPr>
        <w:pStyle w:val="FootnoteText"/>
      </w:pPr>
      <w:r>
        <w:rPr>
          <w:rStyle w:val="FootnoteReference"/>
        </w:rPr>
        <w:footnoteRef/>
      </w:r>
      <w:r>
        <w:t xml:space="preserve"> 1995 now 2022 Transfer Pricing Principles.</w:t>
      </w:r>
    </w:p>
  </w:footnote>
  <w:footnote w:id="18">
    <w:p w:rsidR="00EC6426" w:rsidRDefault="00EC6426" w:rsidP="00EC6426">
      <w:pPr>
        <w:pStyle w:val="FootnoteText"/>
      </w:pPr>
      <w:r>
        <w:rPr>
          <w:rStyle w:val="FootnoteReference"/>
        </w:rPr>
        <w:footnoteRef/>
      </w:r>
      <w:r>
        <w:t xml:space="preserve"> It replaced the old Income </w:t>
      </w:r>
      <w:proofErr w:type="gramStart"/>
      <w:r>
        <w:t>Tax  (</w:t>
      </w:r>
      <w:proofErr w:type="gramEnd"/>
      <w:r>
        <w:t>Transfer Pricing) Regulations 2012. The new Regulation made provision for significant penalties for non-compliance.</w:t>
      </w:r>
    </w:p>
  </w:footnote>
  <w:footnote w:id="19">
    <w:p w:rsidR="00EC6426" w:rsidRDefault="00EC6426" w:rsidP="00EC6426">
      <w:pPr>
        <w:pStyle w:val="FootnoteText"/>
      </w:pPr>
      <w:r>
        <w:rPr>
          <w:rStyle w:val="FootnoteReference"/>
        </w:rPr>
        <w:footnoteRef/>
      </w:r>
      <w:r>
        <w:t xml:space="preserve"> The 2018 Regulations are to be applied in a manner that is consistent with the OECD Transfer Pricing Guidelines for Multinational Enterprises and Tax Administrations 2017 (OECD TP Guidelines) and the UN’s Practical Manual on Transfer Pricing for Developing Countries 2017 (UN Manual) as may be supplem</w:t>
      </w:r>
      <w:r w:rsidR="0088494D">
        <w:t xml:space="preserve">ented and updated from time to </w:t>
      </w:r>
      <w:r>
        <w:t>time.</w:t>
      </w:r>
    </w:p>
  </w:footnote>
  <w:footnote w:id="20">
    <w:p w:rsidR="00EC6426" w:rsidRDefault="00EC6426" w:rsidP="00EC6426">
      <w:pPr>
        <w:pStyle w:val="FootnoteText"/>
      </w:pPr>
      <w:r>
        <w:rPr>
          <w:rStyle w:val="FootnoteReference"/>
        </w:rPr>
        <w:footnoteRef/>
      </w:r>
      <w:r>
        <w:t xml:space="preserve"> Was signed into law on 13 January 2020.</w:t>
      </w:r>
    </w:p>
  </w:footnote>
  <w:footnote w:id="21">
    <w:p w:rsidR="00EC6426" w:rsidRDefault="00EC6426" w:rsidP="00EC6426">
      <w:pPr>
        <w:pStyle w:val="FootnoteText"/>
      </w:pPr>
      <w:r>
        <w:rPr>
          <w:rStyle w:val="FootnoteReference"/>
        </w:rPr>
        <w:footnoteRef/>
      </w:r>
      <w:r>
        <w:t xml:space="preserve"> An electronic transfer pricing filing portal.</w:t>
      </w:r>
    </w:p>
  </w:footnote>
  <w:footnote w:id="22">
    <w:p w:rsidR="00EC6426" w:rsidRDefault="00EC6426" w:rsidP="00EC6426">
      <w:pPr>
        <w:pStyle w:val="FootnoteText"/>
      </w:pPr>
      <w:r>
        <w:rPr>
          <w:rStyle w:val="FootnoteReference"/>
        </w:rPr>
        <w:footnoteRef/>
      </w:r>
      <w:r w:rsidR="0088494D">
        <w:t xml:space="preserve"> A </w:t>
      </w:r>
      <w:proofErr w:type="spellStart"/>
      <w:r w:rsidR="0088494D">
        <w:t>Olatunji</w:t>
      </w:r>
      <w:proofErr w:type="spellEnd"/>
      <w:r w:rsidR="0088494D">
        <w:t>,</w:t>
      </w:r>
      <w:r>
        <w:t xml:space="preserve"> ‘</w:t>
      </w:r>
      <w:r w:rsidR="0088494D">
        <w:t xml:space="preserve">Transfer Pricing: The Nigerian Perspective’ </w:t>
      </w:r>
      <w:r w:rsidR="0088494D" w:rsidRPr="0005134D">
        <w:rPr>
          <w:i/>
        </w:rPr>
        <w:t>International Journal of Accounting</w:t>
      </w:r>
      <w:r w:rsidR="0088494D">
        <w:t xml:space="preserve"> </w:t>
      </w:r>
      <w:r>
        <w:t xml:space="preserve"> </w:t>
      </w:r>
      <w:r w:rsidR="0005134D">
        <w:t>&lt;</w:t>
      </w:r>
      <w:hyperlink w:history="1">
        <w:r w:rsidR="0005134D" w:rsidRPr="002352CA">
          <w:rPr>
            <w:rStyle w:val="Hyperlink"/>
          </w:rPr>
          <w:t>http://ijatnet.com&gt;ijat&gt;2</w:t>
        </w:r>
      </w:hyperlink>
      <w:r w:rsidR="0005134D">
        <w:t xml:space="preserve"> &gt;</w:t>
      </w:r>
      <w:r>
        <w:t xml:space="preserve"> </w:t>
      </w:r>
      <w:r w:rsidR="0005134D">
        <w:t>accessed 5 June 2023</w:t>
      </w:r>
    </w:p>
  </w:footnote>
  <w:footnote w:id="23">
    <w:p w:rsidR="00EC6426" w:rsidRDefault="00EC6426" w:rsidP="00EC6426">
      <w:pPr>
        <w:pStyle w:val="FootnoteText"/>
      </w:pPr>
      <w:r>
        <w:rPr>
          <w:rStyle w:val="FootnoteReference"/>
        </w:rPr>
        <w:footnoteRef/>
      </w:r>
      <w:r>
        <w:t xml:space="preserve"> TAT/LZ/CIT/015/2017</w:t>
      </w:r>
    </w:p>
  </w:footnote>
  <w:footnote w:id="24">
    <w:p w:rsidR="00EC6426" w:rsidRDefault="00EC6426" w:rsidP="00EC6426">
      <w:pPr>
        <w:pStyle w:val="FootnoteText"/>
      </w:pPr>
      <w:r>
        <w:rPr>
          <w:rStyle w:val="FootnoteReference"/>
        </w:rPr>
        <w:footnoteRef/>
      </w:r>
      <w:r w:rsidR="008F0BB3">
        <w:t xml:space="preserve"> Andersen</w:t>
      </w:r>
      <w:r>
        <w:t xml:space="preserve">, </w:t>
      </w:r>
      <w:r w:rsidR="00813990">
        <w:t>‘</w:t>
      </w:r>
      <w:r>
        <w:t>Tax Appeal Tribunal Rules on the First Transfer Pricing Case in Nigeria</w:t>
      </w:r>
      <w:r w:rsidR="00813990">
        <w:t>’</w:t>
      </w:r>
      <w:r>
        <w:t xml:space="preserve">. </w:t>
      </w:r>
      <w:r w:rsidR="00813990">
        <w:t>&lt;</w:t>
      </w:r>
      <w:hyperlink w:history="1">
        <w:r w:rsidRPr="0088405E">
          <w:rPr>
            <w:rStyle w:val="Hyperlink"/>
          </w:rPr>
          <w:t>https://ng.andersen.com&gt;tax-appea</w:t>
        </w:r>
      </w:hyperlink>
      <w:r>
        <w:t xml:space="preserve">... </w:t>
      </w:r>
      <w:r w:rsidR="00813990">
        <w:t>&gt; accessed 10 June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6507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3"/>
    <w:multiLevelType w:val="hybridMultilevel"/>
    <w:tmpl w:val="7A4E7D18"/>
    <w:lvl w:ilvl="0" w:tplc="5D34F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6"/>
    <w:multiLevelType w:val="hybridMultilevel"/>
    <w:tmpl w:val="882803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250B41"/>
    <w:multiLevelType w:val="hybridMultilevel"/>
    <w:tmpl w:val="A4E8068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F8F43B4"/>
    <w:multiLevelType w:val="hybridMultilevel"/>
    <w:tmpl w:val="FC447C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DF7D47"/>
    <w:multiLevelType w:val="hybridMultilevel"/>
    <w:tmpl w:val="AA74C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426"/>
    <w:rsid w:val="00013F9F"/>
    <w:rsid w:val="00021144"/>
    <w:rsid w:val="0005134D"/>
    <w:rsid w:val="00055C33"/>
    <w:rsid w:val="00083134"/>
    <w:rsid w:val="000D2BBB"/>
    <w:rsid w:val="00133D73"/>
    <w:rsid w:val="00161FFD"/>
    <w:rsid w:val="00163B5B"/>
    <w:rsid w:val="00273D98"/>
    <w:rsid w:val="002776BA"/>
    <w:rsid w:val="00295CBE"/>
    <w:rsid w:val="00303706"/>
    <w:rsid w:val="003A718D"/>
    <w:rsid w:val="003E592D"/>
    <w:rsid w:val="004305FF"/>
    <w:rsid w:val="004651D7"/>
    <w:rsid w:val="004B3E11"/>
    <w:rsid w:val="00545040"/>
    <w:rsid w:val="00584734"/>
    <w:rsid w:val="00612FEE"/>
    <w:rsid w:val="006157CF"/>
    <w:rsid w:val="00620C32"/>
    <w:rsid w:val="006429B3"/>
    <w:rsid w:val="00651EC6"/>
    <w:rsid w:val="00671743"/>
    <w:rsid w:val="006B5890"/>
    <w:rsid w:val="006D2922"/>
    <w:rsid w:val="007920BE"/>
    <w:rsid w:val="007D3F05"/>
    <w:rsid w:val="00801182"/>
    <w:rsid w:val="00813990"/>
    <w:rsid w:val="00835D43"/>
    <w:rsid w:val="00871688"/>
    <w:rsid w:val="0088494D"/>
    <w:rsid w:val="00884CF5"/>
    <w:rsid w:val="008B3C6D"/>
    <w:rsid w:val="008F0BB3"/>
    <w:rsid w:val="00917794"/>
    <w:rsid w:val="009B5773"/>
    <w:rsid w:val="009D3D34"/>
    <w:rsid w:val="009D68E5"/>
    <w:rsid w:val="00A11038"/>
    <w:rsid w:val="00A530FA"/>
    <w:rsid w:val="00A67A01"/>
    <w:rsid w:val="00A70F90"/>
    <w:rsid w:val="00AB29CF"/>
    <w:rsid w:val="00AC6427"/>
    <w:rsid w:val="00B0152B"/>
    <w:rsid w:val="00B47B64"/>
    <w:rsid w:val="00B60C3A"/>
    <w:rsid w:val="00B675C9"/>
    <w:rsid w:val="00BA6DF7"/>
    <w:rsid w:val="00BF2A41"/>
    <w:rsid w:val="00C35412"/>
    <w:rsid w:val="00C508AA"/>
    <w:rsid w:val="00C5586E"/>
    <w:rsid w:val="00C71DF0"/>
    <w:rsid w:val="00CA282D"/>
    <w:rsid w:val="00CC68B0"/>
    <w:rsid w:val="00D25EF9"/>
    <w:rsid w:val="00E237AB"/>
    <w:rsid w:val="00E56AB6"/>
    <w:rsid w:val="00E74ED5"/>
    <w:rsid w:val="00E97C6E"/>
    <w:rsid w:val="00EC6426"/>
    <w:rsid w:val="00ED1852"/>
    <w:rsid w:val="00F322CE"/>
    <w:rsid w:val="00F730CF"/>
    <w:rsid w:val="00F7648A"/>
    <w:rsid w:val="00FD16E0"/>
    <w:rsid w:val="00FF014B"/>
    <w:rsid w:val="00FF5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F45E4-AB30-4E4C-A3BF-DFECE91D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4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EC6426"/>
    <w:pPr>
      <w:spacing w:after="0" w:line="240" w:lineRule="auto"/>
    </w:pPr>
    <w:rPr>
      <w:sz w:val="20"/>
      <w:szCs w:val="20"/>
    </w:rPr>
  </w:style>
  <w:style w:type="character" w:customStyle="1" w:styleId="FootnoteTextChar">
    <w:name w:val="Footnote Text Char"/>
    <w:basedOn w:val="DefaultParagraphFont"/>
    <w:link w:val="FootnoteText"/>
    <w:uiPriority w:val="99"/>
    <w:rsid w:val="00EC6426"/>
    <w:rPr>
      <w:sz w:val="20"/>
      <w:szCs w:val="20"/>
    </w:rPr>
  </w:style>
  <w:style w:type="character" w:styleId="FootnoteReference">
    <w:name w:val="footnote reference"/>
    <w:basedOn w:val="DefaultParagraphFont"/>
    <w:uiPriority w:val="99"/>
    <w:rsid w:val="00EC6426"/>
    <w:rPr>
      <w:vertAlign w:val="superscript"/>
    </w:rPr>
  </w:style>
  <w:style w:type="character" w:styleId="Hyperlink">
    <w:name w:val="Hyperlink"/>
    <w:basedOn w:val="DefaultParagraphFont"/>
    <w:uiPriority w:val="99"/>
    <w:rsid w:val="00EC6426"/>
    <w:rPr>
      <w:color w:val="0000FF"/>
      <w:u w:val="single"/>
    </w:rPr>
  </w:style>
  <w:style w:type="paragraph" w:styleId="ListParagraph">
    <w:name w:val="List Paragraph"/>
    <w:basedOn w:val="Normal"/>
    <w:uiPriority w:val="34"/>
    <w:qFormat/>
    <w:rsid w:val="00EC6426"/>
    <w:pPr>
      <w:ind w:left="720"/>
      <w:contextualSpacing/>
    </w:pPr>
  </w:style>
  <w:style w:type="character" w:styleId="HTMLCite">
    <w:name w:val="HTML Cite"/>
    <w:basedOn w:val="DefaultParagraphFont"/>
    <w:uiPriority w:val="99"/>
    <w:rsid w:val="00EC6426"/>
    <w:rPr>
      <w:i w:val="0"/>
      <w:iCs w:val="0"/>
      <w:color w:val="009030"/>
    </w:rPr>
  </w:style>
  <w:style w:type="paragraph" w:styleId="Footer">
    <w:name w:val="footer"/>
    <w:basedOn w:val="Normal"/>
    <w:link w:val="FooterChar"/>
    <w:uiPriority w:val="99"/>
    <w:unhideWhenUsed/>
    <w:rsid w:val="00EC6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pedia.com/terms/t/transaction.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nvestopedia.com/terms/d/duress.asp" TargetMode="External"/><Relationship Id="rId4" Type="http://schemas.openxmlformats.org/officeDocument/2006/relationships/settings" Target="settings.xml"/><Relationship Id="rId9" Type="http://schemas.openxmlformats.org/officeDocument/2006/relationships/hyperlink" Target="http://www.investopedia.com/video/play/arms-length-transactio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rporatefinanceinstitute.com" TargetMode="External"/><Relationship Id="rId7" Type="http://schemas.openxmlformats.org/officeDocument/2006/relationships/hyperlink" Target="https://www.mheducation.com" TargetMode="External"/><Relationship Id="rId2" Type="http://schemas.openxmlformats.org/officeDocument/2006/relationships/hyperlink" Target="https://www.internationalresearchjournaloffinanceandeconomics.com" TargetMode="External"/><Relationship Id="rId1" Type="http://schemas.openxmlformats.org/officeDocument/2006/relationships/hyperlink" Target="https://www.investopedia.comterms" TargetMode="External"/><Relationship Id="rId6" Type="http://schemas.openxmlformats.org/officeDocument/2006/relationships/hyperlink" Target="http://gja.unilag.edu.ng/article/view/1571" TargetMode="External"/><Relationship Id="rId5" Type="http://schemas.openxmlformats.org/officeDocument/2006/relationships/hyperlink" Target="https://www.journalofaccountancy.com" TargetMode="External"/><Relationship Id="rId4" Type="http://schemas.openxmlformats.org/officeDocument/2006/relationships/hyperlink" Target="https://www.un.org20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6FD7E-BCB2-4D16-AAE7-B768A68AA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14</Pages>
  <Words>3939</Words>
  <Characters>22455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Docars</dc:creator>
  <cp:keywords/>
  <dc:description/>
  <cp:lastModifiedBy>hp</cp:lastModifiedBy>
  <cp:revision>46</cp:revision>
  <dcterms:created xsi:type="dcterms:W3CDTF">2023-05-25T14:21:00Z</dcterms:created>
  <dcterms:modified xsi:type="dcterms:W3CDTF">2023-09-27T12:10:00Z</dcterms:modified>
</cp:coreProperties>
</file>